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58877" w14:textId="77777777" w:rsidR="00334D30" w:rsidRDefault="00334D30">
      <w:pPr>
        <w:spacing w:after="60"/>
        <w:rPr>
          <w:b/>
          <w:color w:val="0B2545"/>
          <w:sz w:val="40"/>
          <w:szCs w:val="21"/>
          <w:lang w:eastAsia="ja-JP"/>
        </w:rPr>
      </w:pPr>
      <w:r w:rsidRPr="00334D30">
        <w:rPr>
          <w:b/>
          <w:color w:val="0B2545"/>
          <w:sz w:val="40"/>
          <w:szCs w:val="21"/>
          <w:lang w:eastAsia="ja-JP"/>
        </w:rPr>
        <w:t>セキュリティ投資・コスト回収検討のためのモデル</w:t>
      </w:r>
      <w:r w:rsidRPr="00334D30">
        <w:rPr>
          <w:b/>
          <w:color w:val="0B2545"/>
          <w:sz w:val="40"/>
          <w:szCs w:val="21"/>
          <w:lang w:eastAsia="ja-JP"/>
        </w:rPr>
        <w:br/>
        <w:t>CRA</w:t>
      </w:r>
      <w:r w:rsidRPr="00334D30">
        <w:rPr>
          <w:b/>
          <w:color w:val="0B2545"/>
          <w:sz w:val="40"/>
          <w:szCs w:val="21"/>
          <w:lang w:eastAsia="ja-JP"/>
        </w:rPr>
        <w:t>対応を例として</w:t>
      </w:r>
    </w:p>
    <w:p w14:paraId="6AD43D66" w14:textId="2E9CE862" w:rsidR="00827F95" w:rsidRDefault="00334D30">
      <w:pPr>
        <w:spacing w:after="60"/>
        <w:rPr>
          <w:lang w:eastAsia="ja-JP"/>
        </w:rPr>
      </w:pPr>
      <w:r>
        <w:rPr>
          <w:rFonts w:hint="eastAsia"/>
          <w:b/>
          <w:color w:val="0B2545"/>
          <w:sz w:val="40"/>
          <w:szCs w:val="21"/>
          <w:lang w:eastAsia="ja-JP"/>
        </w:rPr>
        <w:t>説明書</w:t>
      </w:r>
      <w:r>
        <w:rPr>
          <w:b/>
          <w:color w:val="0B2545"/>
          <w:sz w:val="44"/>
          <w:lang w:eastAsia="ja-JP"/>
        </w:rPr>
        <w:br/>
      </w:r>
    </w:p>
    <w:p w14:paraId="3950BD36" w14:textId="77777777" w:rsidR="00827F95" w:rsidRDefault="00827F95">
      <w:pPr>
        <w:spacing w:after="200" w:line="276" w:lineRule="auto"/>
        <w:rPr>
          <w:lang w:eastAsia="ja-JP"/>
        </w:rPr>
      </w:pPr>
    </w:p>
    <w:p w14:paraId="69778D91" w14:textId="77777777" w:rsidR="00827F95" w:rsidRDefault="00827F95">
      <w:pPr>
        <w:spacing w:after="200" w:line="276" w:lineRule="auto"/>
        <w:rPr>
          <w:lang w:eastAsia="ja-JP"/>
        </w:rPr>
      </w:pPr>
    </w:p>
    <w:p w14:paraId="2A7EE26C" w14:textId="77777777" w:rsidR="00827F95" w:rsidRDefault="00827F95">
      <w:pPr>
        <w:spacing w:after="200" w:line="276" w:lineRule="auto"/>
        <w:rPr>
          <w:lang w:eastAsia="ja-JP"/>
        </w:rPr>
      </w:pPr>
    </w:p>
    <w:p w14:paraId="60C10E8B" w14:textId="77777777" w:rsidR="00827F95" w:rsidRDefault="00827F95">
      <w:pPr>
        <w:spacing w:after="200" w:line="276" w:lineRule="auto"/>
        <w:rPr>
          <w:lang w:eastAsia="ja-JP"/>
        </w:rPr>
      </w:pPr>
    </w:p>
    <w:p w14:paraId="6957C502" w14:textId="77777777" w:rsidR="00827F95" w:rsidRDefault="00827F95">
      <w:pPr>
        <w:spacing w:after="200" w:line="276" w:lineRule="auto"/>
        <w:rPr>
          <w:lang w:eastAsia="ja-JP"/>
        </w:rPr>
      </w:pPr>
    </w:p>
    <w:p w14:paraId="672DC7BF" w14:textId="77777777" w:rsidR="00827F95" w:rsidRDefault="00827F95">
      <w:pPr>
        <w:spacing w:after="200" w:line="276" w:lineRule="auto"/>
        <w:rPr>
          <w:lang w:eastAsia="ja-JP"/>
        </w:rPr>
      </w:pPr>
    </w:p>
    <w:p w14:paraId="6254EB69" w14:textId="77777777" w:rsidR="00827F95" w:rsidRDefault="00827F95">
      <w:pPr>
        <w:spacing w:after="200" w:line="276" w:lineRule="auto"/>
        <w:rPr>
          <w:lang w:eastAsia="ja-JP"/>
        </w:rPr>
      </w:pPr>
    </w:p>
    <w:p w14:paraId="6ED8131A" w14:textId="77777777" w:rsidR="00827F95" w:rsidRDefault="00827F95">
      <w:pPr>
        <w:spacing w:after="200" w:line="276" w:lineRule="auto"/>
        <w:rPr>
          <w:lang w:eastAsia="ja-JP"/>
        </w:rPr>
      </w:pPr>
    </w:p>
    <w:p w14:paraId="7261C53A" w14:textId="77777777" w:rsidR="00827F95" w:rsidRDefault="00827F95">
      <w:pPr>
        <w:spacing w:after="200" w:line="276" w:lineRule="auto"/>
        <w:rPr>
          <w:lang w:eastAsia="ja-JP"/>
        </w:rPr>
      </w:pPr>
    </w:p>
    <w:p w14:paraId="2BD83AC8" w14:textId="77777777" w:rsidR="00827F95" w:rsidRDefault="00827F95">
      <w:pPr>
        <w:spacing w:after="200" w:line="276" w:lineRule="auto"/>
        <w:rPr>
          <w:lang w:eastAsia="ja-JP"/>
        </w:rPr>
      </w:pPr>
    </w:p>
    <w:p w14:paraId="2153D61C" w14:textId="77777777" w:rsidR="00827F95" w:rsidRDefault="00827F95">
      <w:pPr>
        <w:spacing w:after="200" w:line="276" w:lineRule="auto"/>
        <w:rPr>
          <w:lang w:eastAsia="ja-JP"/>
        </w:rPr>
      </w:pPr>
    </w:p>
    <w:p w14:paraId="2849C6A4" w14:textId="77777777" w:rsidR="00827F95" w:rsidRDefault="00827F95">
      <w:pPr>
        <w:spacing w:after="200" w:line="276" w:lineRule="auto"/>
        <w:rPr>
          <w:lang w:eastAsia="ja-JP"/>
        </w:rPr>
      </w:pPr>
    </w:p>
    <w:p w14:paraId="31564C95" w14:textId="77777777" w:rsidR="00827F95" w:rsidRDefault="00827F95">
      <w:pPr>
        <w:spacing w:after="200" w:line="276" w:lineRule="auto"/>
        <w:rPr>
          <w:lang w:eastAsia="ja-JP"/>
        </w:rPr>
      </w:pPr>
    </w:p>
    <w:p w14:paraId="56C4C326" w14:textId="77777777" w:rsidR="00827F95" w:rsidRDefault="00827F95">
      <w:pPr>
        <w:spacing w:after="200" w:line="276" w:lineRule="auto"/>
        <w:rPr>
          <w:lang w:eastAsia="ja-JP"/>
        </w:rPr>
      </w:pPr>
    </w:p>
    <w:p w14:paraId="557F6C89" w14:textId="77777777" w:rsidR="00827F95" w:rsidRDefault="00827F95">
      <w:pPr>
        <w:spacing w:after="200" w:line="276" w:lineRule="auto"/>
        <w:rPr>
          <w:lang w:eastAsia="ja-JP"/>
        </w:rPr>
      </w:pPr>
    </w:p>
    <w:p w14:paraId="1473948C" w14:textId="77777777" w:rsidR="00827F95" w:rsidRDefault="00827F95">
      <w:pPr>
        <w:spacing w:after="200" w:line="276" w:lineRule="auto"/>
        <w:rPr>
          <w:lang w:eastAsia="ja-JP"/>
        </w:rPr>
      </w:pPr>
    </w:p>
    <w:p w14:paraId="04AAF3B8" w14:textId="2D549FC1" w:rsidR="004441D3" w:rsidRDefault="004441D3">
      <w:pPr>
        <w:overflowPunct/>
        <w:spacing w:after="0" w:line="240" w:lineRule="auto"/>
        <w:rPr>
          <w:lang w:eastAsia="ja-JP"/>
        </w:rPr>
      </w:pPr>
      <w:r>
        <w:rPr>
          <w:lang w:eastAsia="ja-JP"/>
        </w:rPr>
        <w:br w:type="page"/>
      </w:r>
    </w:p>
    <w:p w14:paraId="43CC3CEC" w14:textId="77777777" w:rsidR="004441D3" w:rsidRDefault="004441D3" w:rsidP="004441D3">
      <w:pPr>
        <w:pStyle w:val="1"/>
        <w:rPr>
          <w:lang w:eastAsia="ja-JP"/>
        </w:rPr>
      </w:pPr>
      <w:r>
        <w:rPr>
          <w:rFonts w:hint="eastAsia"/>
          <w:lang w:eastAsia="ja-JP"/>
        </w:rPr>
        <w:lastRenderedPageBreak/>
        <w:t>注意事項</w:t>
      </w:r>
    </w:p>
    <w:p w14:paraId="01E1E914" w14:textId="77777777" w:rsidR="00494F4D" w:rsidRDefault="00494F4D" w:rsidP="00494F4D">
      <w:pPr>
        <w:rPr>
          <w:rFonts w:ascii="游ゴシック" w:hAnsi="游ゴシック"/>
          <w:b/>
          <w:bCs/>
          <w:lang w:eastAsia="ja-JP"/>
        </w:rPr>
      </w:pPr>
      <w:r>
        <w:rPr>
          <w:rFonts w:ascii="游ゴシック" w:hAnsi="游ゴシック" w:hint="eastAsia"/>
          <w:b/>
          <w:bCs/>
          <w:lang w:eastAsia="ja-JP"/>
        </w:rPr>
        <w:t>■</w:t>
      </w:r>
      <w:r>
        <w:rPr>
          <w:rFonts w:ascii="游ゴシック" w:hAnsi="游ゴシック"/>
          <w:b/>
          <w:bCs/>
          <w:lang w:eastAsia="ja-JP"/>
        </w:rPr>
        <w:t>著作権及びその他すべての知的所有権</w:t>
      </w:r>
    </w:p>
    <w:p w14:paraId="52B7477B" w14:textId="77777777" w:rsidR="00494F4D" w:rsidRDefault="00494F4D" w:rsidP="00494F4D">
      <w:pPr>
        <w:rPr>
          <w:rFonts w:ascii="游ゴシック" w:hAnsi="游ゴシック"/>
          <w:lang w:eastAsia="ja-JP"/>
        </w:rPr>
      </w:pPr>
      <w:r>
        <w:rPr>
          <w:rFonts w:ascii="游ゴシック" w:hAnsi="游ゴシック" w:hint="eastAsia"/>
          <w:lang w:eastAsia="ja-JP"/>
        </w:rPr>
        <w:t>・「</w:t>
      </w:r>
      <w:r w:rsidRPr="00113E93">
        <w:rPr>
          <w:rFonts w:ascii="游ゴシック" w:hAnsi="游ゴシック"/>
          <w:lang w:eastAsia="ja-JP"/>
        </w:rPr>
        <w:t>セキュリティ投資・コスト回収検討のためのモデル</w:t>
      </w:r>
      <w:r>
        <w:rPr>
          <w:rFonts w:ascii="游ゴシック" w:hAnsi="游ゴシック"/>
          <w:lang w:eastAsia="ja-JP"/>
        </w:rPr>
        <w:t>CRA対応を例として</w:t>
      </w:r>
      <w:r>
        <w:rPr>
          <w:rFonts w:ascii="游ゴシック" w:hAnsi="游ゴシック" w:hint="eastAsia"/>
          <w:lang w:eastAsia="ja-JP"/>
        </w:rPr>
        <w:t>（以下、「本作品」）」</w:t>
      </w:r>
      <w:r>
        <w:rPr>
          <w:rFonts w:ascii="游ゴシック" w:hAnsi="游ゴシック"/>
          <w:lang w:eastAsia="ja-JP"/>
        </w:rPr>
        <w:t>に関する著作権及びその他すべての知</w:t>
      </w:r>
      <w:r>
        <w:rPr>
          <w:rFonts w:ascii="游ゴシック" w:hAnsi="游ゴシック" w:hint="eastAsia"/>
          <w:lang w:eastAsia="ja-JP"/>
        </w:rPr>
        <w:t>的所有権は、「情報処理推進機構</w:t>
      </w:r>
      <w:r>
        <w:rPr>
          <w:rFonts w:ascii="游ゴシック" w:hAnsi="游ゴシック"/>
          <w:lang w:eastAsia="ja-JP"/>
        </w:rPr>
        <w:t xml:space="preserve"> 産業サイバーセキュリティセンター 中核</w:t>
      </w:r>
      <w:r>
        <w:rPr>
          <w:rFonts w:ascii="游ゴシック" w:hAnsi="游ゴシック" w:hint="eastAsia"/>
          <w:lang w:eastAsia="ja-JP"/>
        </w:rPr>
        <w:t>⼈材育成プログラム９</w:t>
      </w:r>
      <w:r>
        <w:rPr>
          <w:rFonts w:ascii="游ゴシック" w:hAnsi="游ゴシック"/>
          <w:lang w:eastAsia="ja-JP"/>
        </w:rPr>
        <w:t>期</w:t>
      </w:r>
      <w:r>
        <w:rPr>
          <w:rFonts w:ascii="游ゴシック" w:hAnsi="游ゴシック" w:hint="eastAsia"/>
          <w:lang w:eastAsia="ja-JP"/>
        </w:rPr>
        <w:t>⽣ ＜</w:t>
      </w:r>
      <w:r w:rsidRPr="00113E93">
        <w:rPr>
          <w:rFonts w:ascii="游ゴシック" w:hAnsi="游ゴシック"/>
          <w:lang w:eastAsia="ja-JP"/>
        </w:rPr>
        <w:t>セキュリティ投資・コスト回収検討のためのモデル</w:t>
      </w:r>
      <w:r>
        <w:rPr>
          <w:rFonts w:ascii="游ゴシック" w:hAnsi="游ゴシック" w:hint="eastAsia"/>
          <w:lang w:eastAsia="ja-JP"/>
        </w:rPr>
        <w:t>CRA対応を例として＞</w:t>
      </w:r>
      <w:r>
        <w:rPr>
          <w:rFonts w:ascii="游ゴシック" w:hAnsi="游ゴシック"/>
          <w:lang w:eastAsia="ja-JP"/>
        </w:rPr>
        <w:t>プロジェクト</w:t>
      </w:r>
      <w:r>
        <w:rPr>
          <w:rFonts w:ascii="游ゴシック" w:hAnsi="游ゴシック" w:hint="eastAsia"/>
          <w:lang w:eastAsia="ja-JP"/>
        </w:rPr>
        <w:t>（以下、「本プロジェクト」）」に帰属します。</w:t>
      </w:r>
    </w:p>
    <w:p w14:paraId="5C3E21C3" w14:textId="77777777" w:rsidR="00494F4D" w:rsidRDefault="00494F4D" w:rsidP="00494F4D">
      <w:pPr>
        <w:rPr>
          <w:rFonts w:ascii="游ゴシック" w:hAnsi="游ゴシック"/>
          <w:lang w:eastAsia="ja-JP"/>
        </w:rPr>
      </w:pPr>
    </w:p>
    <w:p w14:paraId="56A20BC8" w14:textId="77777777" w:rsidR="00494F4D" w:rsidRDefault="00494F4D" w:rsidP="00494F4D">
      <w:pPr>
        <w:rPr>
          <w:rFonts w:ascii="游ゴシック" w:hAnsi="游ゴシック"/>
          <w:b/>
          <w:bCs/>
          <w:lang w:eastAsia="ja-JP"/>
        </w:rPr>
      </w:pPr>
      <w:r>
        <w:rPr>
          <w:rFonts w:ascii="游ゴシック" w:hAnsi="游ゴシック" w:hint="eastAsia"/>
          <w:b/>
          <w:bCs/>
          <w:lang w:eastAsia="ja-JP"/>
        </w:rPr>
        <w:t>■</w:t>
      </w:r>
      <w:r>
        <w:rPr>
          <w:rFonts w:ascii="游ゴシック" w:hAnsi="游ゴシック"/>
          <w:b/>
          <w:bCs/>
          <w:lang w:eastAsia="ja-JP"/>
        </w:rPr>
        <w:t>免責事項</w:t>
      </w:r>
    </w:p>
    <w:p w14:paraId="21AADE9C" w14:textId="77777777" w:rsidR="00494F4D" w:rsidRDefault="00494F4D" w:rsidP="00494F4D">
      <w:pPr>
        <w:rPr>
          <w:rFonts w:ascii="游ゴシック" w:hAnsi="游ゴシック"/>
          <w:lang w:eastAsia="ja-JP"/>
        </w:rPr>
      </w:pPr>
      <w:r>
        <w:rPr>
          <w:rFonts w:ascii="游ゴシック" w:hAnsi="游ゴシック" w:hint="eastAsia"/>
          <w:lang w:eastAsia="ja-JP"/>
        </w:rPr>
        <w:t>本プロジェクトは、本作品について品質的にも法律的にも何らの保証もしません。</w:t>
      </w:r>
    </w:p>
    <w:p w14:paraId="332AD02D" w14:textId="316FE77A" w:rsidR="00494F4D" w:rsidRDefault="00494F4D" w:rsidP="00494F4D">
      <w:pPr>
        <w:rPr>
          <w:rFonts w:ascii="游ゴシック" w:hAnsi="游ゴシック"/>
          <w:lang w:eastAsia="ja-JP"/>
        </w:rPr>
      </w:pPr>
      <w:r>
        <w:rPr>
          <w:rFonts w:ascii="游ゴシック" w:hAnsi="游ゴシック" w:hint="eastAsia"/>
          <w:lang w:eastAsia="ja-JP"/>
        </w:rPr>
        <w:t>また、本プロジェクトは、本作品の使⽤に起因して⽣</w:t>
      </w:r>
      <w:proofErr w:type="gramStart"/>
      <w:r>
        <w:rPr>
          <w:rFonts w:ascii="游ゴシック" w:hAnsi="游ゴシック" w:hint="eastAsia"/>
          <w:lang w:eastAsia="ja-JP"/>
        </w:rPr>
        <w:t>じた</w:t>
      </w:r>
      <w:proofErr w:type="gramEnd"/>
      <w:r>
        <w:rPr>
          <w:rFonts w:ascii="游ゴシック" w:hAnsi="游ゴシック" w:hint="eastAsia"/>
          <w:lang w:eastAsia="ja-JP"/>
        </w:rPr>
        <w:t>すべての直接的、間接的、</w:t>
      </w:r>
    </w:p>
    <w:p w14:paraId="0C812F75" w14:textId="77777777" w:rsidR="00494F4D" w:rsidRDefault="00494F4D" w:rsidP="00494F4D">
      <w:pPr>
        <w:rPr>
          <w:rFonts w:ascii="游ゴシック" w:hAnsi="游ゴシック"/>
          <w:lang w:eastAsia="ja-JP"/>
        </w:rPr>
      </w:pPr>
      <w:r>
        <w:rPr>
          <w:rFonts w:ascii="游ゴシック" w:hAnsi="游ゴシック" w:hint="eastAsia"/>
          <w:lang w:eastAsia="ja-JP"/>
        </w:rPr>
        <w:t>付随的⼜は結果的損害、利益の損失等に関し、法的原因の如何を問わず何らの責任も</w:t>
      </w:r>
    </w:p>
    <w:p w14:paraId="53065E90" w14:textId="77777777" w:rsidR="00494F4D" w:rsidRDefault="00494F4D" w:rsidP="00494F4D">
      <w:pPr>
        <w:rPr>
          <w:rFonts w:ascii="游ゴシック" w:hAnsi="游ゴシック"/>
          <w:lang w:eastAsia="ja-JP"/>
        </w:rPr>
      </w:pPr>
      <w:r>
        <w:rPr>
          <w:rFonts w:ascii="游ゴシック" w:hAnsi="游ゴシック" w:hint="eastAsia"/>
          <w:lang w:eastAsia="ja-JP"/>
        </w:rPr>
        <w:t>負いません。</w:t>
      </w:r>
    </w:p>
    <w:p w14:paraId="3666A9F5" w14:textId="77777777" w:rsidR="00494F4D" w:rsidRDefault="00494F4D" w:rsidP="00494F4D">
      <w:pPr>
        <w:rPr>
          <w:rFonts w:ascii="游ゴシック" w:hAnsi="游ゴシック"/>
          <w:lang w:eastAsia="ja-JP"/>
        </w:rPr>
      </w:pPr>
      <w:r>
        <w:rPr>
          <w:rFonts w:ascii="游ゴシック" w:hAnsi="游ゴシック" w:hint="eastAsia"/>
          <w:lang w:eastAsia="ja-JP"/>
        </w:rPr>
        <w:t>本資料においてモデルケースとした</w:t>
      </w:r>
      <w:r>
        <w:rPr>
          <w:rFonts w:ascii="Manrope;sans-serif" w:hAnsi="Manrope;sans-serif"/>
          <w:color w:val="2B2719"/>
          <w:sz w:val="24"/>
          <w:lang w:eastAsia="ja-JP"/>
        </w:rPr>
        <w:t>Regulation (EU) 2024/2847</w:t>
      </w:r>
      <w:r>
        <w:rPr>
          <w:lang w:eastAsia="ja-JP"/>
        </w:rPr>
        <w:t xml:space="preserve"> </w:t>
      </w:r>
      <w:r>
        <w:rPr>
          <w:lang w:eastAsia="ja-JP"/>
        </w:rPr>
        <w:t xml:space="preserve">　</w:t>
      </w:r>
      <w:r>
        <w:rPr>
          <w:rFonts w:ascii="Manrope;sans-serif" w:hAnsi="Manrope;sans-serif"/>
          <w:color w:val="2B2719"/>
          <w:sz w:val="24"/>
          <w:lang w:eastAsia="ja-JP"/>
        </w:rPr>
        <w:t>Cyber Resilience Act</w:t>
      </w:r>
      <w:r>
        <w:rPr>
          <w:lang w:eastAsia="ja-JP"/>
        </w:rPr>
        <w:t xml:space="preserve"> </w:t>
      </w:r>
      <w:r>
        <w:rPr>
          <w:lang w:eastAsia="ja-JP"/>
        </w:rPr>
        <w:t>（以後</w:t>
      </w:r>
      <w:r>
        <w:rPr>
          <w:lang w:eastAsia="ja-JP"/>
        </w:rPr>
        <w:t>CRA</w:t>
      </w:r>
      <w:r>
        <w:rPr>
          <w:lang w:eastAsia="ja-JP"/>
        </w:rPr>
        <w:t>）</w:t>
      </w:r>
      <w:r>
        <w:rPr>
          <w:rFonts w:ascii="游ゴシック" w:hAnsi="游ゴシック" w:hint="eastAsia"/>
          <w:lang w:eastAsia="ja-JP"/>
        </w:rPr>
        <w:t>条文、解釈、ガイダンスについては、必ず最新版を確認してください。</w:t>
      </w:r>
    </w:p>
    <w:p w14:paraId="1B92E835" w14:textId="57DF9087" w:rsidR="00494F4D" w:rsidRDefault="00494F4D" w:rsidP="00494F4D">
      <w:pPr>
        <w:rPr>
          <w:rFonts w:ascii="游ゴシック" w:hAnsi="游ゴシック"/>
          <w:lang w:eastAsia="ja-JP"/>
        </w:rPr>
      </w:pPr>
      <w:r>
        <w:rPr>
          <w:rFonts w:ascii="游ゴシック" w:hAnsi="游ゴシック" w:hint="eastAsia"/>
          <w:lang w:eastAsia="ja-JP"/>
        </w:rPr>
        <w:t>本資料の項目は、CRA対応を例にしてコスト可視化と回収を目的としています。代表的な項目を抜粋・整理したものでありすべての条文、製品別・業界別の詳細要件を網羅的に保証するものではありません。本資料は、 セキュリティコスト発生タイミング可視化と回収に関する考え方の一助として提供するものであり、 CRA対応の法的解釈または法的助言を提供するものではありません。最終的な上市判断、契約判断、法務判断は、各社の責任において行ってください。自社の製品分類、サポート期間、販売形態、OSS利用状況等に応じて、必要な確認・調整を行ってください。本資料の利用により生じた損害等について、作成者は責任を負いかねます。</w:t>
      </w:r>
    </w:p>
    <w:p w14:paraId="6DE308AD" w14:textId="77777777" w:rsidR="00494F4D" w:rsidRDefault="00494F4D" w:rsidP="00494F4D">
      <w:pPr>
        <w:rPr>
          <w:rFonts w:ascii="游ゴシック" w:hAnsi="游ゴシック"/>
          <w:lang w:eastAsia="ja-JP"/>
        </w:rPr>
      </w:pPr>
      <w:r>
        <w:rPr>
          <w:rFonts w:ascii="游ゴシック" w:hAnsi="游ゴシック" w:hint="eastAsia"/>
          <w:lang w:eastAsia="ja-JP"/>
        </w:rPr>
        <w:t>本書の有効期限は，発⾏⽇から２年間とします。</w:t>
      </w:r>
    </w:p>
    <w:p w14:paraId="39D0C35E" w14:textId="77777777" w:rsidR="00494F4D" w:rsidRDefault="00494F4D" w:rsidP="00494F4D">
      <w:pPr>
        <w:rPr>
          <w:rFonts w:ascii="游ゴシック" w:hAnsi="游ゴシック"/>
          <w:lang w:eastAsia="ja-JP"/>
        </w:rPr>
      </w:pPr>
    </w:p>
    <w:p w14:paraId="18E3C3FE" w14:textId="77777777" w:rsidR="00494F4D" w:rsidRDefault="00494F4D" w:rsidP="00494F4D">
      <w:pPr>
        <w:rPr>
          <w:rFonts w:ascii="游ゴシック" w:hAnsi="游ゴシック"/>
          <w:b/>
          <w:bCs/>
          <w:lang w:eastAsia="ja-JP"/>
        </w:rPr>
      </w:pPr>
      <w:r>
        <w:rPr>
          <w:rFonts w:ascii="游ゴシック" w:hAnsi="游ゴシック" w:hint="eastAsia"/>
          <w:b/>
          <w:bCs/>
          <w:lang w:eastAsia="ja-JP"/>
        </w:rPr>
        <w:t>■</w:t>
      </w:r>
      <w:r>
        <w:rPr>
          <w:rFonts w:ascii="游ゴシック" w:hAnsi="游ゴシック"/>
          <w:b/>
          <w:bCs/>
          <w:lang w:eastAsia="ja-JP"/>
        </w:rPr>
        <w:t>注意事項</w:t>
      </w:r>
    </w:p>
    <w:p w14:paraId="74E2AEC1" w14:textId="77777777" w:rsidR="00494F4D" w:rsidRDefault="00494F4D" w:rsidP="00494F4D">
      <w:pPr>
        <w:rPr>
          <w:rFonts w:ascii="游ゴシック" w:hAnsi="游ゴシック"/>
          <w:lang w:eastAsia="ja-JP"/>
        </w:rPr>
      </w:pPr>
      <w:r>
        <w:rPr>
          <w:rFonts w:ascii="游ゴシック" w:hAnsi="游ゴシック" w:hint="eastAsia"/>
          <w:lang w:eastAsia="ja-JP"/>
        </w:rPr>
        <w:t>本作品の内容は本プロジェクトの見解に基づいております。</w:t>
      </w:r>
    </w:p>
    <w:p w14:paraId="20B03E82" w14:textId="788A666B" w:rsidR="00494F4D" w:rsidRDefault="00494F4D" w:rsidP="00494F4D">
      <w:pPr>
        <w:rPr>
          <w:rFonts w:ascii="游ゴシック" w:hAnsi="游ゴシック"/>
          <w:lang w:eastAsia="ja-JP"/>
        </w:rPr>
      </w:pPr>
      <w:r>
        <w:rPr>
          <w:rFonts w:ascii="游ゴシック" w:hAnsi="游ゴシック" w:hint="eastAsia"/>
          <w:lang w:eastAsia="ja-JP"/>
        </w:rPr>
        <w:lastRenderedPageBreak/>
        <w:t>独立行政法人情報処理推進機構（</w:t>
      </w:r>
      <w:r>
        <w:rPr>
          <w:rFonts w:ascii="游ゴシック" w:hAnsi="游ゴシック"/>
          <w:lang w:eastAsia="ja-JP"/>
        </w:rPr>
        <w:t>IPA）および作成者の所属企業の見解を反映するものではありません。</w:t>
      </w:r>
    </w:p>
    <w:p w14:paraId="245AC75D" w14:textId="77777777" w:rsidR="00494F4D" w:rsidRDefault="00494F4D" w:rsidP="00494F4D">
      <w:pPr>
        <w:rPr>
          <w:rFonts w:ascii="游ゴシック" w:hAnsi="游ゴシック"/>
          <w:b/>
          <w:bCs/>
          <w:lang w:eastAsia="ja-JP"/>
        </w:rPr>
      </w:pPr>
      <w:r>
        <w:rPr>
          <w:rFonts w:ascii="游ゴシック" w:hAnsi="游ゴシック" w:hint="eastAsia"/>
          <w:b/>
          <w:bCs/>
          <w:lang w:eastAsia="ja-JP"/>
        </w:rPr>
        <w:t>■</w:t>
      </w:r>
      <w:r>
        <w:rPr>
          <w:rFonts w:ascii="游ゴシック" w:hAnsi="游ゴシック"/>
          <w:b/>
          <w:bCs/>
          <w:lang w:eastAsia="ja-JP"/>
        </w:rPr>
        <w:t>利用条件・範囲</w:t>
      </w:r>
    </w:p>
    <w:p w14:paraId="499EEEDC" w14:textId="77777777" w:rsidR="00494F4D" w:rsidRDefault="00494F4D" w:rsidP="00494F4D">
      <w:pPr>
        <w:rPr>
          <w:rFonts w:ascii="游ゴシック" w:hAnsi="游ゴシック"/>
          <w:lang w:eastAsia="ja-JP"/>
        </w:rPr>
      </w:pPr>
      <w:r>
        <w:rPr>
          <w:rFonts w:ascii="游ゴシック" w:hAnsi="游ゴシック" w:hint="eastAsia"/>
          <w:lang w:eastAsia="ja-JP"/>
        </w:rPr>
        <w:t>・本作品は、個⼈、法⼈組織における⾮営利、⾮商業的態様での（セキュリティインシ</w:t>
      </w:r>
    </w:p>
    <w:p w14:paraId="713E50F9" w14:textId="77777777" w:rsidR="00494F4D" w:rsidRDefault="00494F4D" w:rsidP="00494F4D">
      <w:pPr>
        <w:rPr>
          <w:rFonts w:ascii="游ゴシック" w:hAnsi="游ゴシック"/>
          <w:lang w:eastAsia="ja-JP"/>
        </w:rPr>
      </w:pPr>
      <w:r>
        <w:rPr>
          <w:rFonts w:ascii="游ゴシック" w:hAnsi="游ゴシック" w:hint="eastAsia"/>
          <w:lang w:eastAsia="ja-JP"/>
        </w:rPr>
        <w:t>デント対応訓練または従業員のシステムセキュリティ教育）⽬的でのみ、かつ健全な社</w:t>
      </w:r>
    </w:p>
    <w:p w14:paraId="7EB5659A" w14:textId="77777777" w:rsidR="00494F4D" w:rsidRDefault="00494F4D" w:rsidP="00494F4D">
      <w:pPr>
        <w:rPr>
          <w:rFonts w:ascii="游ゴシック" w:hAnsi="游ゴシック"/>
          <w:lang w:eastAsia="ja-JP"/>
        </w:rPr>
      </w:pPr>
      <w:r>
        <w:rPr>
          <w:rFonts w:ascii="游ゴシック" w:hAnsi="游ゴシック" w:hint="eastAsia"/>
          <w:lang w:eastAsia="ja-JP"/>
        </w:rPr>
        <w:t>会通念に反しないことを条件として、本書⾯の定めに従って事前連絡せずに無償で使</w:t>
      </w:r>
    </w:p>
    <w:p w14:paraId="1007BC9C" w14:textId="77777777" w:rsidR="00494F4D" w:rsidRDefault="00494F4D" w:rsidP="00494F4D">
      <w:pPr>
        <w:rPr>
          <w:rFonts w:ascii="游ゴシック" w:hAnsi="游ゴシック"/>
          <w:lang w:eastAsia="ja-JP"/>
        </w:rPr>
      </w:pPr>
      <w:r>
        <w:rPr>
          <w:rFonts w:ascii="游ゴシック" w:hAnsi="游ゴシック" w:hint="eastAsia"/>
          <w:lang w:eastAsia="ja-JP"/>
        </w:rPr>
        <w:t>⽤出来るものとします。その他の利⽤（内容の改変等を含みます）は⼀切認めません</w:t>
      </w:r>
    </w:p>
    <w:p w14:paraId="13DB634C" w14:textId="77777777" w:rsidR="00494F4D" w:rsidRDefault="00494F4D" w:rsidP="00494F4D">
      <w:pPr>
        <w:rPr>
          <w:rFonts w:ascii="游ゴシック" w:hAnsi="游ゴシック"/>
          <w:lang w:eastAsia="ja-JP"/>
        </w:rPr>
      </w:pPr>
      <w:r>
        <w:rPr>
          <w:rFonts w:ascii="游ゴシック" w:hAnsi="游ゴシック" w:hint="eastAsia"/>
          <w:lang w:eastAsia="ja-JP"/>
        </w:rPr>
        <w:t>ので、その場合には改めて本プロジェクト及び上記各イラスト制作者等の許諾を得る</w:t>
      </w:r>
    </w:p>
    <w:p w14:paraId="627D1E0B" w14:textId="77777777" w:rsidR="00494F4D" w:rsidRDefault="00494F4D" w:rsidP="00494F4D">
      <w:pPr>
        <w:rPr>
          <w:rFonts w:ascii="游ゴシック" w:hAnsi="游ゴシック"/>
          <w:lang w:eastAsia="ja-JP"/>
        </w:rPr>
      </w:pPr>
      <w:r>
        <w:rPr>
          <w:rFonts w:ascii="游ゴシック" w:hAnsi="游ゴシック" w:hint="eastAsia"/>
          <w:lang w:eastAsia="ja-JP"/>
        </w:rPr>
        <w:t>必要があります。</w:t>
      </w:r>
    </w:p>
    <w:p w14:paraId="74F6781D" w14:textId="77777777" w:rsidR="00494F4D" w:rsidRDefault="00494F4D" w:rsidP="00494F4D">
      <w:pPr>
        <w:rPr>
          <w:rFonts w:ascii="游ゴシック" w:hAnsi="游ゴシック"/>
          <w:lang w:eastAsia="ja-JP"/>
        </w:rPr>
      </w:pPr>
      <w:r>
        <w:rPr>
          <w:rFonts w:ascii="游ゴシック" w:hAnsi="游ゴシック" w:hint="eastAsia"/>
          <w:lang w:eastAsia="ja-JP"/>
        </w:rPr>
        <w:t>・本作品は、顧客サービス等と組み合わせて使⽤することは出来ないものとします。</w:t>
      </w:r>
    </w:p>
    <w:p w14:paraId="6DAE3698" w14:textId="703560E1" w:rsidR="004441D3" w:rsidRDefault="004441D3" w:rsidP="004441D3">
      <w:pPr>
        <w:rPr>
          <w:lang w:eastAsia="ja-JP"/>
        </w:rPr>
      </w:pPr>
      <w:r>
        <w:rPr>
          <w:rFonts w:hint="eastAsia"/>
          <w:lang w:eastAsia="ja-JP"/>
        </w:rPr>
        <w:t>最新情報の確認：</w:t>
      </w:r>
      <w:r>
        <w:rPr>
          <w:rFonts w:hint="eastAsia"/>
          <w:lang w:eastAsia="ja-JP"/>
        </w:rPr>
        <w:t>CRA</w:t>
      </w:r>
      <w:r>
        <w:rPr>
          <w:rFonts w:hint="eastAsia"/>
          <w:lang w:eastAsia="ja-JP"/>
        </w:rPr>
        <w:t>（サイバーレジリエンス法）の条文、解釈、ガイダンスについては、常に最新版を確認</w:t>
      </w:r>
      <w:r w:rsidR="00494F4D">
        <w:rPr>
          <w:rFonts w:hint="eastAsia"/>
          <w:lang w:eastAsia="ja-JP"/>
        </w:rPr>
        <w:t>してください</w:t>
      </w:r>
      <w:r>
        <w:rPr>
          <w:rFonts w:hint="eastAsia"/>
          <w:lang w:eastAsia="ja-JP"/>
        </w:rPr>
        <w:t>。</w:t>
      </w:r>
    </w:p>
    <w:p w14:paraId="4F715EC0" w14:textId="110F3F64" w:rsidR="004441D3" w:rsidRDefault="004441D3" w:rsidP="004441D3">
      <w:pPr>
        <w:rPr>
          <w:lang w:eastAsia="ja-JP"/>
        </w:rPr>
      </w:pPr>
      <w:r>
        <w:rPr>
          <w:rFonts w:hint="eastAsia"/>
          <w:lang w:eastAsia="ja-JP"/>
        </w:rPr>
        <w:t>資料の目的と網羅性：本資料は、</w:t>
      </w:r>
      <w:r>
        <w:rPr>
          <w:rFonts w:hint="eastAsia"/>
          <w:lang w:eastAsia="ja-JP"/>
        </w:rPr>
        <w:t>CRA</w:t>
      </w:r>
      <w:r>
        <w:rPr>
          <w:rFonts w:hint="eastAsia"/>
          <w:lang w:eastAsia="ja-JP"/>
        </w:rPr>
        <w:t>対応を契機としたセキュリティコストの可視化および回収を主目的として、代表的な項目を抜粋・整理したものである。すべての条文、製品別・業界別の詳細な要件を網羅的に保証するものでは</w:t>
      </w:r>
      <w:r w:rsidR="00494F4D">
        <w:rPr>
          <w:rFonts w:hint="eastAsia"/>
          <w:lang w:eastAsia="ja-JP"/>
        </w:rPr>
        <w:t>ありません</w:t>
      </w:r>
      <w:r>
        <w:rPr>
          <w:rFonts w:hint="eastAsia"/>
          <w:lang w:eastAsia="ja-JP"/>
        </w:rPr>
        <w:t>。</w:t>
      </w:r>
    </w:p>
    <w:p w14:paraId="4B4CDD91" w14:textId="57D34F56" w:rsidR="004441D3" w:rsidRDefault="004441D3" w:rsidP="004441D3">
      <w:pPr>
        <w:rPr>
          <w:lang w:eastAsia="ja-JP"/>
        </w:rPr>
      </w:pPr>
      <w:r>
        <w:rPr>
          <w:rFonts w:hint="eastAsia"/>
          <w:lang w:eastAsia="ja-JP"/>
        </w:rPr>
        <w:t>法的解釈の免責：本資料は、セキュリティコストの発生タイミングの可視化と回収に関する考え方を支援するための参考情報であり、</w:t>
      </w:r>
      <w:r>
        <w:rPr>
          <w:rFonts w:hint="eastAsia"/>
          <w:lang w:eastAsia="ja-JP"/>
        </w:rPr>
        <w:t>CRA</w:t>
      </w:r>
      <w:r>
        <w:rPr>
          <w:rFonts w:hint="eastAsia"/>
          <w:lang w:eastAsia="ja-JP"/>
        </w:rPr>
        <w:t>対応における法的な解釈や助言を提供するものでは</w:t>
      </w:r>
      <w:r w:rsidR="00494F4D">
        <w:rPr>
          <w:rFonts w:hint="eastAsia"/>
          <w:lang w:eastAsia="ja-JP"/>
        </w:rPr>
        <w:t>ありません</w:t>
      </w:r>
      <w:r>
        <w:rPr>
          <w:rFonts w:hint="eastAsia"/>
          <w:lang w:eastAsia="ja-JP"/>
        </w:rPr>
        <w:t>。</w:t>
      </w:r>
    </w:p>
    <w:p w14:paraId="7939F395" w14:textId="3F42963D" w:rsidR="00494F4D" w:rsidRDefault="004441D3" w:rsidP="004441D3">
      <w:pPr>
        <w:rPr>
          <w:lang w:eastAsia="ja-JP"/>
        </w:rPr>
      </w:pPr>
      <w:r>
        <w:rPr>
          <w:rFonts w:hint="eastAsia"/>
          <w:lang w:eastAsia="ja-JP"/>
        </w:rPr>
        <w:t>最終判断の責任：最終的な上市判断、契約判断、法務判断は、各社の責任において実施</w:t>
      </w:r>
      <w:r w:rsidR="00494F4D">
        <w:rPr>
          <w:rFonts w:hint="eastAsia"/>
          <w:lang w:eastAsia="ja-JP"/>
        </w:rPr>
        <w:t>してください</w:t>
      </w:r>
      <w:r>
        <w:rPr>
          <w:rFonts w:hint="eastAsia"/>
          <w:lang w:eastAsia="ja-JP"/>
        </w:rPr>
        <w:t>。個別状況への適応：自社の製品分類、サポート期間、販売形態、</w:t>
      </w:r>
      <w:r>
        <w:rPr>
          <w:rFonts w:hint="eastAsia"/>
          <w:lang w:eastAsia="ja-JP"/>
        </w:rPr>
        <w:t>OSS</w:t>
      </w:r>
      <w:r>
        <w:rPr>
          <w:rFonts w:hint="eastAsia"/>
          <w:lang w:eastAsia="ja-JP"/>
        </w:rPr>
        <w:t>の利用状況等に応じて、必要な確認や調整を個別に行</w:t>
      </w:r>
      <w:r w:rsidR="00494F4D">
        <w:rPr>
          <w:rFonts w:hint="eastAsia"/>
          <w:lang w:eastAsia="ja-JP"/>
        </w:rPr>
        <w:t>ってください</w:t>
      </w:r>
      <w:r>
        <w:rPr>
          <w:rFonts w:hint="eastAsia"/>
          <w:lang w:eastAsia="ja-JP"/>
        </w:rPr>
        <w:t>。</w:t>
      </w:r>
      <w:r w:rsidR="00494F4D">
        <w:rPr>
          <w:rFonts w:hint="eastAsia"/>
          <w:lang w:eastAsia="ja-JP"/>
        </w:rPr>
        <w:t>また</w:t>
      </w:r>
      <w:r>
        <w:rPr>
          <w:rFonts w:hint="eastAsia"/>
          <w:lang w:eastAsia="ja-JP"/>
        </w:rPr>
        <w:t>損害等に関する留意事項：本資料は参考情報として提供するものであり、利用にあたっては各組織の責任で内容を確認し、必要に応じて専門家の助言を受け</w:t>
      </w:r>
      <w:r w:rsidR="00494F4D">
        <w:rPr>
          <w:rFonts w:hint="eastAsia"/>
          <w:lang w:eastAsia="ja-JP"/>
        </w:rPr>
        <w:t>てください</w:t>
      </w:r>
      <w:r>
        <w:rPr>
          <w:rFonts w:hint="eastAsia"/>
          <w:lang w:eastAsia="ja-JP"/>
        </w:rPr>
        <w:t>。</w:t>
      </w:r>
    </w:p>
    <w:p w14:paraId="6CEE960D" w14:textId="79A63B32" w:rsidR="004441D3" w:rsidRDefault="004441D3" w:rsidP="004441D3">
      <w:pPr>
        <w:rPr>
          <w:lang w:eastAsia="ja-JP"/>
        </w:rPr>
      </w:pPr>
      <w:r>
        <w:rPr>
          <w:rFonts w:hint="eastAsia"/>
          <w:lang w:eastAsia="ja-JP"/>
        </w:rPr>
        <w:t>利用ツールについて：本資料およびプロジェクトの推進にあたり、以下のサービスを翻訳、文章作成・校正、およびデザインの補助として利用</w:t>
      </w:r>
      <w:proofErr w:type="gramStart"/>
      <w:r>
        <w:rPr>
          <w:rFonts w:hint="eastAsia"/>
          <w:lang w:eastAsia="ja-JP"/>
        </w:rPr>
        <w:t>して</w:t>
      </w:r>
      <w:r w:rsidR="00494F4D">
        <w:rPr>
          <w:rFonts w:hint="eastAsia"/>
          <w:lang w:eastAsia="ja-JP"/>
        </w:rPr>
        <w:t>ます</w:t>
      </w:r>
      <w:proofErr w:type="gramEnd"/>
      <w:r>
        <w:rPr>
          <w:rFonts w:hint="eastAsia"/>
          <w:lang w:eastAsia="ja-JP"/>
        </w:rPr>
        <w:t>。</w:t>
      </w:r>
    </w:p>
    <w:p w14:paraId="17FF67DD" w14:textId="77777777" w:rsidR="004441D3" w:rsidRPr="004441D3" w:rsidRDefault="004441D3" w:rsidP="004441D3">
      <w:pPr>
        <w:rPr>
          <w:rFonts w:ascii="游ゴシック" w:hAnsi="游ゴシック"/>
          <w:lang w:eastAsia="ja-JP"/>
        </w:rPr>
      </w:pPr>
      <w:r w:rsidRPr="004441D3">
        <w:rPr>
          <w:rFonts w:ascii="游ゴシック" w:hAnsi="游ゴシック" w:hint="eastAsia"/>
          <w:lang w:eastAsia="ja-JP"/>
        </w:rPr>
        <w:t xml:space="preserve">ChatGPT（文章作成・校正補助） / Claude Code（実装補助） / </w:t>
      </w:r>
      <w:proofErr w:type="spellStart"/>
      <w:r w:rsidRPr="004441D3">
        <w:rPr>
          <w:rFonts w:ascii="游ゴシック" w:hAnsi="游ゴシック" w:hint="eastAsia"/>
          <w:lang w:eastAsia="ja-JP"/>
        </w:rPr>
        <w:t>DeepL</w:t>
      </w:r>
      <w:proofErr w:type="spellEnd"/>
      <w:r w:rsidRPr="004441D3">
        <w:rPr>
          <w:rFonts w:ascii="游ゴシック" w:hAnsi="游ゴシック" w:hint="eastAsia"/>
          <w:lang w:eastAsia="ja-JP"/>
        </w:rPr>
        <w:t>（翻訳補助）</w:t>
      </w:r>
    </w:p>
    <w:p w14:paraId="0653E2EE" w14:textId="77777777" w:rsidR="004441D3" w:rsidRDefault="004441D3">
      <w:pPr>
        <w:overflowPunct/>
        <w:spacing w:after="0" w:line="240" w:lineRule="auto"/>
        <w:rPr>
          <w:rFonts w:eastAsia="ＭＳ ゴシック"/>
          <w:b/>
          <w:bCs/>
          <w:color w:val="2E74B5"/>
          <w:sz w:val="32"/>
          <w:szCs w:val="28"/>
          <w:lang w:eastAsia="ja-JP"/>
        </w:rPr>
      </w:pPr>
      <w:r>
        <w:rPr>
          <w:lang w:eastAsia="ja-JP"/>
        </w:rPr>
        <w:br w:type="page"/>
      </w:r>
    </w:p>
    <w:p w14:paraId="37D5CEBF" w14:textId="3C403591" w:rsidR="00827F95" w:rsidRDefault="00FF4C1E">
      <w:pPr>
        <w:pStyle w:val="1"/>
        <w:spacing w:before="0"/>
        <w:rPr>
          <w:lang w:eastAsia="ja-JP"/>
        </w:rPr>
      </w:pPr>
      <w:r>
        <w:rPr>
          <w:lang w:eastAsia="ja-JP"/>
        </w:rPr>
        <w:lastRenderedPageBreak/>
        <w:t xml:space="preserve">1. </w:t>
      </w:r>
      <w:r>
        <w:rPr>
          <w:lang w:eastAsia="ja-JP"/>
        </w:rPr>
        <w:t>はじめに</w:t>
      </w:r>
    </w:p>
    <w:p w14:paraId="206959CB" w14:textId="77777777" w:rsidR="00827F95" w:rsidRDefault="00FF4C1E">
      <w:pPr>
        <w:rPr>
          <w:lang w:eastAsia="ja-JP"/>
        </w:rPr>
      </w:pPr>
      <w:r>
        <w:rPr>
          <w:lang w:eastAsia="ja-JP"/>
        </w:rPr>
        <w:t>本書は、「セキュリティ投資・コスト回収モデル」に関する卒業プロジェクト全体の考え方を整理するための説明書である。本プロジェクトでは、セキュリティ対応に伴って発生する投資・費用を、対応内容、担当主体、発生タイミング、証跡、負担・回収の観点から整理し、実務上検討可能な形で可視化することを目的としている。</w:t>
      </w:r>
    </w:p>
    <w:p w14:paraId="04A68383" w14:textId="71FA6080" w:rsidR="00827F95" w:rsidRDefault="00FF4C1E">
      <w:pPr>
        <w:rPr>
          <w:rFonts w:ascii="游ゴシック" w:hAnsi="游ゴシック"/>
          <w:lang w:eastAsia="ja-JP"/>
        </w:rPr>
      </w:pPr>
      <w:proofErr w:type="spellStart"/>
      <w:r>
        <w:t>本プロジェクトでは、具体的な検討対象として</w:t>
      </w:r>
      <w:proofErr w:type="spellEnd"/>
      <w:r>
        <w:t xml:space="preserve"> </w:t>
      </w:r>
      <w:r w:rsidRPr="000B58E8">
        <w:rPr>
          <w:rFonts w:ascii="游ゴシック" w:hAnsi="游ゴシック"/>
        </w:rPr>
        <w:t xml:space="preserve">Cyber Resilience </w:t>
      </w:r>
      <w:proofErr w:type="spellStart"/>
      <w:r w:rsidRPr="000B58E8">
        <w:rPr>
          <w:rFonts w:ascii="游ゴシック" w:hAnsi="游ゴシック"/>
        </w:rPr>
        <w:t>Act（CRA</w:t>
      </w:r>
      <w:proofErr w:type="spellEnd"/>
      <w:r w:rsidRPr="000B58E8">
        <w:rPr>
          <w:rFonts w:ascii="游ゴシック" w:hAnsi="游ゴシック"/>
        </w:rPr>
        <w:t>, Regulation (EU) 2024/2847）への対応を用いている。</w:t>
      </w:r>
      <w:r w:rsidRPr="000B58E8">
        <w:rPr>
          <w:rFonts w:ascii="游ゴシック" w:hAnsi="游ゴシック"/>
          <w:lang w:eastAsia="ja-JP"/>
        </w:rPr>
        <w:t>ただし、本検討の主題はCRAの法的適合性判断ではない。CRAは、セキュリティ対応に伴う要求事項や対応内容を整理するための題材として利用している。</w:t>
      </w:r>
    </w:p>
    <w:p w14:paraId="030FE600" w14:textId="77777777" w:rsidR="00827F95" w:rsidRDefault="00FF4C1E">
      <w:pPr>
        <w:pStyle w:val="1"/>
        <w:rPr>
          <w:lang w:eastAsia="ja-JP"/>
        </w:rPr>
      </w:pPr>
      <w:r>
        <w:rPr>
          <w:lang w:eastAsia="ja-JP"/>
        </w:rPr>
        <w:t xml:space="preserve">2. </w:t>
      </w:r>
      <w:r>
        <w:rPr>
          <w:lang w:eastAsia="ja-JP"/>
        </w:rPr>
        <w:t>本プロジェクトの背景</w:t>
      </w:r>
    </w:p>
    <w:p w14:paraId="13F74453" w14:textId="77777777" w:rsidR="00827F95" w:rsidRDefault="00FF4C1E">
      <w:pPr>
        <w:rPr>
          <w:lang w:eastAsia="ja-JP"/>
        </w:rPr>
      </w:pPr>
      <w:r>
        <w:rPr>
          <w:lang w:eastAsia="ja-JP"/>
        </w:rPr>
        <w:t>セキュリティ対応は、製品・サービスの企画、設計、開発、運用、保守の各段階で継続的に発生する。一方で、その費用は開発費、運用費、外部委託費、法令対応費、教育費、監査費などに分散しやすく、どの対応によって発生した費用なのかを後から追跡することが難しくなりがちである。</w:t>
      </w:r>
    </w:p>
    <w:p w14:paraId="1004F215" w14:textId="77777777" w:rsidR="00827F95" w:rsidRDefault="00FF4C1E">
      <w:pPr>
        <w:rPr>
          <w:lang w:eastAsia="ja-JP"/>
        </w:rPr>
      </w:pPr>
      <w:r>
        <w:rPr>
          <w:lang w:eastAsia="ja-JP"/>
        </w:rPr>
        <w:t>また、セキュリティ対応は単一部門だけで完結しない。開発、品質保証、セキュリティ、法務、調達、営業、経理・管理部門などが関与し、部門ごとに負担する作業や費用の見え方が異なる。そのため、対応そのものの必要性は理解されていても、投資判断や費用回収のための情報が整理されないまま進むことがある。</w:t>
      </w:r>
    </w:p>
    <w:p w14:paraId="28C7D683" w14:textId="77777777" w:rsidR="00827F95" w:rsidRDefault="00FF4C1E">
      <w:pPr>
        <w:rPr>
          <w:lang w:eastAsia="ja-JP"/>
        </w:rPr>
      </w:pPr>
      <w:r>
        <w:rPr>
          <w:lang w:eastAsia="ja-JP"/>
        </w:rPr>
        <w:t>こうした課題の背景には、規制環境の急速な変化がある。</w:t>
      </w:r>
      <w:r>
        <w:rPr>
          <w:lang w:eastAsia="ja-JP"/>
        </w:rPr>
        <w:t>EU</w:t>
      </w:r>
      <w:r>
        <w:rPr>
          <w:lang w:eastAsia="ja-JP"/>
        </w:rPr>
        <w:t>では</w:t>
      </w:r>
      <w:r>
        <w:rPr>
          <w:lang w:eastAsia="ja-JP"/>
        </w:rPr>
        <w:t>2024</w:t>
      </w:r>
      <w:r>
        <w:rPr>
          <w:lang w:eastAsia="ja-JP"/>
        </w:rPr>
        <w:t>年に</w:t>
      </w:r>
      <w:r w:rsidRPr="000B58E8">
        <w:rPr>
          <w:rFonts w:ascii="游ゴシック" w:hAnsi="游ゴシック"/>
          <w:lang w:eastAsia="ja-JP"/>
        </w:rPr>
        <w:t>Cyber Resilience Act（CRA, Regulation (EU) 2024/2847）</w:t>
      </w:r>
      <w:r>
        <w:rPr>
          <w:lang w:eastAsia="ja-JP"/>
        </w:rPr>
        <w:t>が成立し、デジタル要素を持つ製品の製造業者に対して、企画・設計から上市後のサポート終了まで、製品ライフサイクル全体を通じたセキュリティ対応と証跡保持が義務づけられた。同規制では、脆弱性対応・インシデント通知・アップデート提供にかかるコストを製品ライフサイクルの中で明確に設計することが前提となっているが、各要求に対するコスト負担の設計指針は提示されていない。製造業者が「どの対応が、どの段階で、どの費用として発生し、どこから回収できるか」を設計するためのツールが十分に整備されていないことが、実務上の障壁となっている。</w:t>
      </w:r>
    </w:p>
    <w:p w14:paraId="157D32FD" w14:textId="77777777" w:rsidR="00827F95" w:rsidRDefault="00FF4C1E">
      <w:pPr>
        <w:pStyle w:val="1"/>
        <w:rPr>
          <w:lang w:eastAsia="ja-JP"/>
        </w:rPr>
      </w:pPr>
      <w:r>
        <w:rPr>
          <w:lang w:eastAsia="ja-JP"/>
        </w:rPr>
        <w:lastRenderedPageBreak/>
        <w:t xml:space="preserve">3. </w:t>
      </w:r>
      <w:r>
        <w:rPr>
          <w:lang w:eastAsia="ja-JP"/>
        </w:rPr>
        <w:t>本プロジェクトの目的</w:t>
      </w:r>
    </w:p>
    <w:p w14:paraId="7F19CDC0" w14:textId="77777777" w:rsidR="00827F95" w:rsidRDefault="00FF4C1E">
      <w:pPr>
        <w:rPr>
          <w:lang w:eastAsia="ja-JP"/>
        </w:rPr>
      </w:pPr>
      <w:r>
        <w:rPr>
          <w:lang w:eastAsia="ja-JP"/>
        </w:rPr>
        <w:t>本プロジェクトの目的は、セキュリティ対応に関する投資・費用を、実務者が記入・確認できる単位に分解し、組織内で共有・分析できる形に整理することである。単に費用額を集計するのではなく、費用が発生する背景、対応内容、担当主体、発生フェイズ、証跡との関係を明確にすることを重視している。</w:t>
      </w:r>
    </w:p>
    <w:p w14:paraId="1BF747A6" w14:textId="77777777" w:rsidR="00827F95" w:rsidRDefault="00FF4C1E">
      <w:pPr>
        <w:pStyle w:val="a0"/>
        <w:rPr>
          <w:lang w:eastAsia="ja-JP"/>
        </w:rPr>
      </w:pPr>
      <w:r>
        <w:rPr>
          <w:lang w:eastAsia="ja-JP"/>
        </w:rPr>
        <w:t>どの要求・対応によって費用が発生するのかを整理する。</w:t>
      </w:r>
    </w:p>
    <w:p w14:paraId="78845962" w14:textId="69DB3634" w:rsidR="00827F95" w:rsidRDefault="00FF4C1E">
      <w:pPr>
        <w:pStyle w:val="a0"/>
        <w:rPr>
          <w:lang w:eastAsia="ja-JP"/>
        </w:rPr>
      </w:pPr>
      <w:r>
        <w:rPr>
          <w:lang w:eastAsia="ja-JP"/>
        </w:rPr>
        <w:t>誰が対応し、誰が負担し、誰が判断するのかを</w:t>
      </w:r>
      <w:r w:rsidR="004441D3">
        <w:rPr>
          <w:rFonts w:hint="eastAsia"/>
          <w:lang w:eastAsia="ja-JP"/>
        </w:rPr>
        <w:t>可視化</w:t>
      </w:r>
      <w:r>
        <w:rPr>
          <w:lang w:eastAsia="ja-JP"/>
        </w:rPr>
        <w:t>する。</w:t>
      </w:r>
    </w:p>
    <w:p w14:paraId="0865F9A5" w14:textId="77777777" w:rsidR="00827F95" w:rsidRDefault="00FF4C1E">
      <w:pPr>
        <w:pStyle w:val="a0"/>
        <w:rPr>
          <w:lang w:eastAsia="ja-JP"/>
        </w:rPr>
      </w:pPr>
      <w:r>
        <w:rPr>
          <w:lang w:eastAsia="ja-JP"/>
        </w:rPr>
        <w:t>費用が企画・検討、設計・開発、上市後のどの段階で発生するのかを整理する。</w:t>
      </w:r>
    </w:p>
    <w:p w14:paraId="4B26D7ED" w14:textId="77777777" w:rsidR="00827F95" w:rsidRDefault="00FF4C1E">
      <w:pPr>
        <w:pStyle w:val="a0"/>
        <w:rPr>
          <w:lang w:eastAsia="ja-JP"/>
        </w:rPr>
      </w:pPr>
      <w:r>
        <w:rPr>
          <w:lang w:eastAsia="ja-JP"/>
        </w:rPr>
        <w:t>対応内容と証跡を関連付け、後から説明可能な状態にする。</w:t>
      </w:r>
    </w:p>
    <w:p w14:paraId="2C3686A6" w14:textId="77777777" w:rsidR="00827F95" w:rsidRDefault="00FF4C1E">
      <w:pPr>
        <w:pStyle w:val="a0"/>
        <w:rPr>
          <w:lang w:eastAsia="ja-JP"/>
        </w:rPr>
      </w:pPr>
      <w:r>
        <w:rPr>
          <w:lang w:eastAsia="ja-JP"/>
        </w:rPr>
        <w:t>セキュリティ対応費用の負担・回収を検討するための基礎情報を作る。</w:t>
      </w:r>
    </w:p>
    <w:p w14:paraId="42D86931" w14:textId="46008C49" w:rsidR="00827F95" w:rsidRDefault="00FF4C1E">
      <w:pPr>
        <w:rPr>
          <w:lang w:eastAsia="ja-JP"/>
        </w:rPr>
      </w:pPr>
      <w:r>
        <w:rPr>
          <w:lang w:eastAsia="ja-JP"/>
        </w:rPr>
        <w:t>本フレームワークが実現すべきことは、セキュリティ対応費用を経営判断の情報として活用できる構造を構築することである。対応の完了・未完了だけでなく、なぜ・誰が・いつ・どの区分で・どこから回収するかという軸で情報を整理することで、組織内の複数部門がセキュリティ投資について共通言語で議論できる状態を目指した。</w:t>
      </w:r>
    </w:p>
    <w:p w14:paraId="0348634F" w14:textId="77777777" w:rsidR="00827F95" w:rsidRDefault="00FF4C1E">
      <w:pPr>
        <w:pStyle w:val="1"/>
        <w:rPr>
          <w:lang w:eastAsia="ja-JP"/>
        </w:rPr>
      </w:pPr>
      <w:r>
        <w:rPr>
          <w:lang w:eastAsia="ja-JP"/>
        </w:rPr>
        <w:t xml:space="preserve">4. </w:t>
      </w:r>
      <w:r>
        <w:rPr>
          <w:lang w:eastAsia="ja-JP"/>
        </w:rPr>
        <w:t>プロジェクトの意義</w:t>
      </w:r>
    </w:p>
    <w:p w14:paraId="0B166D66" w14:textId="77777777" w:rsidR="00827F95" w:rsidRDefault="00FF4C1E">
      <w:pPr>
        <w:rPr>
          <w:lang w:eastAsia="ja-JP"/>
        </w:rPr>
      </w:pPr>
      <w:r>
        <w:rPr>
          <w:lang w:eastAsia="ja-JP"/>
        </w:rPr>
        <w:t>本プロジェクトが取り組む課題には、二つの層の意義がある。</w:t>
      </w:r>
    </w:p>
    <w:p w14:paraId="766F8F29" w14:textId="77777777" w:rsidR="00827F95" w:rsidRDefault="00FF4C1E">
      <w:pPr>
        <w:rPr>
          <w:lang w:eastAsia="ja-JP"/>
        </w:rPr>
      </w:pPr>
      <w:r>
        <w:rPr>
          <w:lang w:eastAsia="ja-JP"/>
        </w:rPr>
        <w:t>第一に、規制適合の実務支援という意義である。</w:t>
      </w:r>
      <w:r>
        <w:rPr>
          <w:lang w:eastAsia="ja-JP"/>
        </w:rPr>
        <w:t>CRA</w:t>
      </w:r>
      <w:r>
        <w:rPr>
          <w:lang w:eastAsia="ja-JP"/>
        </w:rPr>
        <w:t>をはじめとするサイバーセキュリティ規制は、製品の設計・開発・運用にわたる幅広い義務を課す一方で、各要求に対するコスト負担の設計指針は提示していない。製造業者が規制に対応しようとする場合、まず「何を対応しなければならないか」を要求事項として整理し、次に「誰が・いつ・どの費用区分で対応するか」を設計する必要がある。本プロジェクトは、この二段階のプロセスを支援するフレームワークを提供することで、規制対応の実務負荷を軽減し、対応の透明性を高めることを目指した。</w:t>
      </w:r>
    </w:p>
    <w:p w14:paraId="30D41611" w14:textId="77777777" w:rsidR="00827F95" w:rsidRDefault="00FF4C1E">
      <w:pPr>
        <w:rPr>
          <w:lang w:eastAsia="ja-JP"/>
        </w:rPr>
      </w:pPr>
      <w:r>
        <w:rPr>
          <w:lang w:eastAsia="ja-JP"/>
        </w:rPr>
        <w:t>第二に、セキュリティ投資の経営的可視化という意義である。セキュリティ対応費用は、多くの組織において「コストセンター」として扱われがちであり、投資対効果や回収可能性の観点から分析されることが少ないのが実情である。しかし、</w:t>
      </w:r>
      <w:r>
        <w:rPr>
          <w:lang w:eastAsia="ja-JP"/>
        </w:rPr>
        <w:t>CRA</w:t>
      </w:r>
      <w:r>
        <w:rPr>
          <w:lang w:eastAsia="ja-JP"/>
        </w:rPr>
        <w:t>のような規制においては、製品価格や保守契約を通じた費用回収が制度的に想定されているケースもある。本フレームワークが</w:t>
      </w:r>
      <w:r>
        <w:rPr>
          <w:lang w:eastAsia="ja-JP"/>
        </w:rPr>
        <w:lastRenderedPageBreak/>
        <w:t>整理するコスト回収モデル（</w:t>
      </w:r>
      <w:r>
        <w:rPr>
          <w:lang w:eastAsia="ja-JP"/>
        </w:rPr>
        <w:t>P0</w:t>
      </w:r>
      <w:r>
        <w:rPr>
          <w:lang w:eastAsia="ja-JP"/>
        </w:rPr>
        <w:t>：内製・回収困難、</w:t>
      </w:r>
      <w:r>
        <w:rPr>
          <w:lang w:eastAsia="ja-JP"/>
        </w:rPr>
        <w:t>P1</w:t>
      </w:r>
      <w:r>
        <w:rPr>
          <w:lang w:eastAsia="ja-JP"/>
        </w:rPr>
        <w:t>：製品価格への転嫁、</w:t>
      </w:r>
      <w:r>
        <w:rPr>
          <w:lang w:eastAsia="ja-JP"/>
        </w:rPr>
        <w:t>P2</w:t>
      </w:r>
      <w:r>
        <w:rPr>
          <w:lang w:eastAsia="ja-JP"/>
        </w:rPr>
        <w:t>：保守契約による回収）は、セキュリティ対応費用を経営判断の情報として活用するための基礎を提供する。</w:t>
      </w:r>
    </w:p>
    <w:p w14:paraId="535F5062" w14:textId="77777777" w:rsidR="00827F95" w:rsidRDefault="00FF4C1E">
      <w:pPr>
        <w:rPr>
          <w:lang w:eastAsia="ja-JP"/>
        </w:rPr>
      </w:pPr>
      <w:r>
        <w:rPr>
          <w:lang w:eastAsia="ja-JP"/>
        </w:rPr>
        <w:t>本プロジェクトにおいてはセキュリティ対応コストの構造化・可視化・意思決定支援を目指している。</w:t>
      </w:r>
    </w:p>
    <w:p w14:paraId="0A9BA103" w14:textId="77777777" w:rsidR="00827F95" w:rsidRDefault="00FF4C1E">
      <w:pPr>
        <w:pStyle w:val="1"/>
        <w:rPr>
          <w:lang w:eastAsia="ja-JP"/>
        </w:rPr>
      </w:pPr>
      <w:r>
        <w:rPr>
          <w:lang w:eastAsia="ja-JP"/>
        </w:rPr>
        <w:t xml:space="preserve">5. </w:t>
      </w:r>
      <w:r>
        <w:rPr>
          <w:lang w:eastAsia="ja-JP"/>
        </w:rPr>
        <w:t>プロジェクトの要件</w:t>
      </w:r>
    </w:p>
    <w:p w14:paraId="0F7CA8AA" w14:textId="77777777" w:rsidR="00827F95" w:rsidRDefault="00FF4C1E">
      <w:pPr>
        <w:rPr>
          <w:lang w:eastAsia="ja-JP"/>
        </w:rPr>
      </w:pPr>
      <w:r>
        <w:rPr>
          <w:lang w:eastAsia="ja-JP"/>
        </w:rPr>
        <w:t>本プロジェクトにおいて提案するフレームワークは、以下の要件を満たすことを前提として設計されている。</w:t>
      </w:r>
    </w:p>
    <w:p w14:paraId="3C5F3A8E" w14:textId="77777777" w:rsidR="00827F95" w:rsidRDefault="00FF4C1E">
      <w:pPr>
        <w:pStyle w:val="a0"/>
        <w:rPr>
          <w:lang w:eastAsia="ja-JP"/>
        </w:rPr>
      </w:pPr>
      <w:r>
        <w:rPr>
          <w:lang w:eastAsia="ja-JP"/>
        </w:rPr>
        <w:t>条文・規格との対応が明確であること。各対応項目は元となる要求事項（条文番号、規格番号等）と対応づけられており、出典を追跡可能であること。</w:t>
      </w:r>
    </w:p>
    <w:p w14:paraId="2C56274A" w14:textId="77777777" w:rsidR="00827F95" w:rsidRDefault="00FF4C1E">
      <w:pPr>
        <w:pStyle w:val="a0"/>
        <w:rPr>
          <w:lang w:eastAsia="ja-JP"/>
        </w:rPr>
      </w:pPr>
      <w:r>
        <w:rPr>
          <w:lang w:eastAsia="ja-JP"/>
        </w:rPr>
        <w:t>複数部門が同じ粒度で情報を共有できること。実務担当者・管理者・法務・セキュリティ部門が共通の項目単位で対応状況を確認・議論できること。</w:t>
      </w:r>
    </w:p>
    <w:p w14:paraId="002E0339" w14:textId="77777777" w:rsidR="00827F95" w:rsidRDefault="00FF4C1E">
      <w:pPr>
        <w:pStyle w:val="a0"/>
        <w:rPr>
          <w:lang w:eastAsia="ja-JP"/>
        </w:rPr>
      </w:pPr>
      <w:r>
        <w:rPr>
          <w:lang w:eastAsia="ja-JP"/>
        </w:rPr>
        <w:t>投資判断に活用できる形式であること。各対応項目に発生タイミング・担当主体・コスト区分・回収先の情報が付与されており、費用の構造分析が可能であること。</w:t>
      </w:r>
    </w:p>
    <w:p w14:paraId="003E642C" w14:textId="77777777" w:rsidR="00827F95" w:rsidRDefault="00FF4C1E">
      <w:pPr>
        <w:pStyle w:val="a0"/>
        <w:rPr>
          <w:lang w:eastAsia="ja-JP"/>
        </w:rPr>
      </w:pPr>
      <w:r>
        <w:rPr>
          <w:lang w:eastAsia="ja-JP"/>
        </w:rPr>
        <w:t>証跡管理と連携可能であること。対応内容と証跡（設計書・テスト結果・承認記録等）を関連づけ、後から説明可能な状態にできること。</w:t>
      </w:r>
    </w:p>
    <w:p w14:paraId="7495A3E1" w14:textId="77777777" w:rsidR="00827F95" w:rsidRDefault="00FF4C1E">
      <w:pPr>
        <w:pStyle w:val="a0"/>
        <w:rPr>
          <w:lang w:eastAsia="ja-JP"/>
        </w:rPr>
      </w:pPr>
      <w:r>
        <w:rPr>
          <w:lang w:eastAsia="ja-JP"/>
        </w:rPr>
        <w:t>組織・製品ごとの調整が可能であること。テンプレートを起点として、各組織の業務プロセス・会計方針・製品特性に応じて内容を調整できること。</w:t>
      </w:r>
    </w:p>
    <w:p w14:paraId="2BBCEA49" w14:textId="77777777" w:rsidR="00827F95" w:rsidRDefault="00FF4C1E">
      <w:pPr>
        <w:rPr>
          <w:lang w:eastAsia="ja-JP"/>
        </w:rPr>
      </w:pPr>
      <w:r>
        <w:rPr>
          <w:lang w:eastAsia="ja-JP"/>
        </w:rPr>
        <w:t>これらの要件は、各組織が自社の状況に合わせてカスタマイズしながら利用できるベースラインを作り提供するという設計方針に基づいて作成した。</w:t>
      </w:r>
    </w:p>
    <w:p w14:paraId="0974B489" w14:textId="77777777" w:rsidR="00827F95" w:rsidRDefault="00FF4C1E">
      <w:pPr>
        <w:pStyle w:val="1"/>
        <w:rPr>
          <w:lang w:eastAsia="ja-JP"/>
        </w:rPr>
      </w:pPr>
      <w:r>
        <w:rPr>
          <w:lang w:eastAsia="ja-JP"/>
        </w:rPr>
        <w:t xml:space="preserve">6. </w:t>
      </w:r>
      <w:r>
        <w:rPr>
          <w:lang w:eastAsia="ja-JP"/>
        </w:rPr>
        <w:t>検討対象とスコープ</w:t>
      </w:r>
    </w:p>
    <w:p w14:paraId="5D3EA038" w14:textId="77777777" w:rsidR="00827F95" w:rsidRDefault="00FF4C1E">
      <w:pPr>
        <w:rPr>
          <w:lang w:eastAsia="ja-JP"/>
        </w:rPr>
      </w:pPr>
      <w:r>
        <w:rPr>
          <w:lang w:eastAsia="ja-JP"/>
        </w:rPr>
        <w:t>本プロジェクトでは、デジタル要素を含む製品・サービスに関するセキュリティ対応を主な検討対象とする。特に、要求事項が条文や規格、契約、社内基準などとして外部化されている場面を想定し、それらを実務上の対応項目に落とし込むことを重視している。</w:t>
      </w:r>
    </w:p>
    <w:p w14:paraId="469563E1" w14:textId="77777777" w:rsidR="00827F95" w:rsidRDefault="00FF4C1E">
      <w:pPr>
        <w:rPr>
          <w:lang w:eastAsia="ja-JP"/>
        </w:rPr>
      </w:pPr>
      <w:r>
        <w:rPr>
          <w:lang w:eastAsia="ja-JP"/>
        </w:rPr>
        <w:t>一方で、本モデルは特定企業における最終的な会計処理、価格転嫁、法的適合性の判定、監査意見を直接示すものではない。実際に利用する場合は、各組織の会計方針、契約条件、製品特性、リスク評価、法務判断に合わせて調整する必要がある。</w:t>
      </w:r>
    </w:p>
    <w:p w14:paraId="6C2578EA" w14:textId="77777777" w:rsidR="00827F95" w:rsidRDefault="00FF4C1E">
      <w:pPr>
        <w:pStyle w:val="1"/>
        <w:rPr>
          <w:lang w:eastAsia="ja-JP"/>
        </w:rPr>
      </w:pPr>
      <w:r>
        <w:rPr>
          <w:lang w:eastAsia="ja-JP"/>
        </w:rPr>
        <w:lastRenderedPageBreak/>
        <w:t xml:space="preserve">7. </w:t>
      </w:r>
      <w:r>
        <w:rPr>
          <w:lang w:eastAsia="ja-JP"/>
        </w:rPr>
        <w:t>課題認識</w:t>
      </w:r>
    </w:p>
    <w:p w14:paraId="749CA277" w14:textId="77777777" w:rsidR="00827F95" w:rsidRDefault="00FF4C1E">
      <w:pPr>
        <w:rPr>
          <w:lang w:eastAsia="ja-JP"/>
        </w:rPr>
      </w:pPr>
      <w:r>
        <w:rPr>
          <w:lang w:eastAsia="ja-JP"/>
        </w:rPr>
        <w:t>本プロジェクトで扱う中心的な課題は、セキュリティ対応コストが実務上どこに発生し、誰が負担し、どのタイミングで計上・回収されるのかが見えにくいことである。対応が必要であること自体は認識されていても、その対応がどの部門の作業として発生し、どの費目に現れ、どの証跡に基づいて説明できるのかが整理されない場合がある。</w:t>
      </w:r>
    </w:p>
    <w:p w14:paraId="38119A01" w14:textId="77777777" w:rsidR="00827F95" w:rsidRDefault="00FF4C1E">
      <w:pPr>
        <w:pStyle w:val="a0"/>
        <w:rPr>
          <w:lang w:eastAsia="ja-JP"/>
        </w:rPr>
      </w:pPr>
      <w:r>
        <w:rPr>
          <w:lang w:eastAsia="ja-JP"/>
        </w:rPr>
        <w:t>要求事項と具体的対応の関係が曖昧になりやすい。</w:t>
      </w:r>
    </w:p>
    <w:p w14:paraId="164DEC10" w14:textId="77777777" w:rsidR="00827F95" w:rsidRDefault="00FF4C1E">
      <w:pPr>
        <w:pStyle w:val="a0"/>
        <w:rPr>
          <w:lang w:eastAsia="ja-JP"/>
        </w:rPr>
      </w:pPr>
      <w:r>
        <w:rPr>
          <w:lang w:eastAsia="ja-JP"/>
        </w:rPr>
        <w:t>初期費用とランニングコストの区別が後から追いにくい。</w:t>
      </w:r>
    </w:p>
    <w:p w14:paraId="4665D12B" w14:textId="77777777" w:rsidR="00827F95" w:rsidRDefault="00FF4C1E">
      <w:pPr>
        <w:pStyle w:val="a0"/>
        <w:rPr>
          <w:lang w:eastAsia="ja-JP"/>
        </w:rPr>
      </w:pPr>
      <w:r>
        <w:rPr>
          <w:lang w:eastAsia="ja-JP"/>
        </w:rPr>
        <w:t>担当主体、費用負担主体、意思決定主体が一致しない場合がある。</w:t>
      </w:r>
    </w:p>
    <w:p w14:paraId="4B1630AB" w14:textId="77777777" w:rsidR="00827F95" w:rsidRDefault="00FF4C1E">
      <w:pPr>
        <w:pStyle w:val="a0"/>
        <w:rPr>
          <w:lang w:eastAsia="ja-JP"/>
        </w:rPr>
      </w:pPr>
      <w:r>
        <w:rPr>
          <w:lang w:eastAsia="ja-JP"/>
        </w:rPr>
        <w:t>証跡が散在し、対応済みであることを説明しにくい。</w:t>
      </w:r>
    </w:p>
    <w:p w14:paraId="2D55E5FE" w14:textId="77777777" w:rsidR="00827F95" w:rsidRDefault="00FF4C1E">
      <w:pPr>
        <w:pStyle w:val="a0"/>
        <w:rPr>
          <w:lang w:eastAsia="ja-JP"/>
        </w:rPr>
      </w:pPr>
      <w:r>
        <w:rPr>
          <w:lang w:eastAsia="ja-JP"/>
        </w:rPr>
        <w:t>規制対応や顧客要求への対応が、投資判断の情報として再利用されにくい。</w:t>
      </w:r>
    </w:p>
    <w:p w14:paraId="5364FAE4" w14:textId="77777777" w:rsidR="00827F95" w:rsidRDefault="00FF4C1E">
      <w:pPr>
        <w:rPr>
          <w:lang w:eastAsia="ja-JP"/>
        </w:rPr>
      </w:pPr>
      <w:r>
        <w:rPr>
          <w:lang w:eastAsia="ja-JP"/>
        </w:rPr>
        <w:t>特に、</w:t>
      </w:r>
      <w:r>
        <w:rPr>
          <w:lang w:eastAsia="ja-JP"/>
        </w:rPr>
        <w:t>CRA</w:t>
      </w:r>
      <w:r>
        <w:rPr>
          <w:lang w:eastAsia="ja-JP"/>
        </w:rPr>
        <w:t>のような製品ライフサイクル全体にまたがる規制への対応では、企画段階でのコスト試算と上市後の継続コストが連動している。しかし、企画段階で担当主体・費用区分・回収方針まで設計するための統合的な枠組みが整備されていないことが多く、対応が後手に回りやすい構造がある。本プロジェクトは、こうした課題に対し、要求事項を対応項目単位に分解し、コスト・証跡・主体情報を一体的に管理する仕組みを提案する。</w:t>
      </w:r>
    </w:p>
    <w:p w14:paraId="63F9F0D1" w14:textId="77777777" w:rsidR="00827F95" w:rsidRDefault="00FF4C1E">
      <w:pPr>
        <w:pStyle w:val="1"/>
        <w:rPr>
          <w:lang w:eastAsia="ja-JP"/>
        </w:rPr>
      </w:pPr>
      <w:r>
        <w:rPr>
          <w:lang w:eastAsia="ja-JP"/>
        </w:rPr>
        <w:t xml:space="preserve">8. </w:t>
      </w:r>
      <w:r>
        <w:rPr>
          <w:lang w:eastAsia="ja-JP"/>
        </w:rPr>
        <w:t>提案するフレームワークの概要</w:t>
      </w:r>
    </w:p>
    <w:p w14:paraId="069862A9" w14:textId="77777777" w:rsidR="00827F95" w:rsidRDefault="00FF4C1E">
      <w:pPr>
        <w:rPr>
          <w:lang w:eastAsia="ja-JP"/>
        </w:rPr>
      </w:pPr>
      <w:r>
        <w:rPr>
          <w:lang w:eastAsia="ja-JP"/>
        </w:rPr>
        <w:t>本プロジェクトでは、セキュリティ対応を「要求」「対応」「主体」「タイミング」「証跡」「コスト」の観点で整理するフレームワークを提案する。各対応項目をカード化し、実務者が自社の対応状況、証跡、担当者、発生タイミングを記入できるようにすることで、対応状況の確認とコスト分析を同時に行える形を目指している。</w:t>
      </w:r>
    </w:p>
    <w:tbl>
      <w:tblPr>
        <w:tblW w:w="9185" w:type="dxa"/>
        <w:jc w:val="center"/>
        <w:tblLayout w:type="fixed"/>
        <w:tblCellMar>
          <w:top w:w="80" w:type="dxa"/>
          <w:left w:w="120" w:type="dxa"/>
          <w:bottom w:w="80" w:type="dxa"/>
          <w:right w:w="120" w:type="dxa"/>
        </w:tblCellMar>
        <w:tblLook w:val="04A0" w:firstRow="1" w:lastRow="0" w:firstColumn="1" w:lastColumn="0" w:noHBand="0" w:noVBand="1"/>
      </w:tblPr>
      <w:tblGrid>
        <w:gridCol w:w="2266"/>
        <w:gridCol w:w="6919"/>
      </w:tblGrid>
      <w:tr w:rsidR="00827F95" w14:paraId="00D0F916" w14:textId="77777777">
        <w:trPr>
          <w:tblHeader/>
          <w:jc w:val="center"/>
        </w:trPr>
        <w:tc>
          <w:tcPr>
            <w:tcW w:w="2266"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1F0DB3FB" w14:textId="77777777" w:rsidR="00827F95" w:rsidRDefault="00FF4C1E">
            <w:pPr>
              <w:spacing w:after="0"/>
              <w:rPr>
                <w:b/>
              </w:rPr>
            </w:pPr>
            <w:proofErr w:type="spellStart"/>
            <w:r>
              <w:rPr>
                <w:b/>
              </w:rPr>
              <w:t>観点</w:t>
            </w:r>
            <w:proofErr w:type="spellEnd"/>
          </w:p>
        </w:tc>
        <w:tc>
          <w:tcPr>
            <w:tcW w:w="6919"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6BBE5BB4" w14:textId="77777777" w:rsidR="00827F95" w:rsidRDefault="00FF4C1E">
            <w:pPr>
              <w:spacing w:after="0"/>
              <w:rPr>
                <w:b/>
              </w:rPr>
            </w:pPr>
            <w:proofErr w:type="spellStart"/>
            <w:r>
              <w:rPr>
                <w:b/>
              </w:rPr>
              <w:t>整理する内容</w:t>
            </w:r>
            <w:proofErr w:type="spellEnd"/>
          </w:p>
        </w:tc>
      </w:tr>
      <w:tr w:rsidR="00827F95" w14:paraId="338C5823"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6BF07BA9" w14:textId="77777777" w:rsidR="00827F95" w:rsidRDefault="00FF4C1E">
            <w:pPr>
              <w:spacing w:after="0"/>
            </w:pPr>
            <w:proofErr w:type="spellStart"/>
            <w:r>
              <w:t>要求</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03C4E4DB" w14:textId="77777777" w:rsidR="00827F95" w:rsidRDefault="00FF4C1E">
            <w:pPr>
              <w:spacing w:after="0"/>
              <w:rPr>
                <w:lang w:eastAsia="ja-JP"/>
              </w:rPr>
            </w:pPr>
            <w:r>
              <w:rPr>
                <w:lang w:eastAsia="ja-JP"/>
              </w:rPr>
              <w:t>条文、規格、契約、社内基準などから導かれる要求事項。</w:t>
            </w:r>
          </w:p>
        </w:tc>
      </w:tr>
      <w:tr w:rsidR="00827F95" w14:paraId="24513E58"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2A1E017F" w14:textId="77777777" w:rsidR="00827F95" w:rsidRDefault="00FF4C1E">
            <w:pPr>
              <w:spacing w:after="0"/>
            </w:pPr>
            <w:proofErr w:type="spellStart"/>
            <w:r>
              <w:t>対応</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5C2C2340" w14:textId="77777777" w:rsidR="00827F95" w:rsidRDefault="00FF4C1E">
            <w:pPr>
              <w:spacing w:after="0"/>
              <w:rPr>
                <w:lang w:eastAsia="ja-JP"/>
              </w:rPr>
            </w:pPr>
            <w:r>
              <w:rPr>
                <w:lang w:eastAsia="ja-JP"/>
              </w:rPr>
              <w:t>要求を満たすために実施する実務上の対応内容。</w:t>
            </w:r>
          </w:p>
        </w:tc>
      </w:tr>
      <w:tr w:rsidR="00827F95" w14:paraId="65930845"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5BD1859E" w14:textId="77777777" w:rsidR="00827F95" w:rsidRDefault="00FF4C1E">
            <w:pPr>
              <w:spacing w:after="0"/>
            </w:pPr>
            <w:proofErr w:type="spellStart"/>
            <w:r>
              <w:t>主体</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0FFFDB76" w14:textId="77777777" w:rsidR="00827F95" w:rsidRDefault="00FF4C1E">
            <w:pPr>
              <w:spacing w:after="0"/>
              <w:rPr>
                <w:lang w:eastAsia="ja-JP"/>
              </w:rPr>
            </w:pPr>
            <w:r>
              <w:rPr>
                <w:lang w:eastAsia="ja-JP"/>
              </w:rPr>
              <w:t>担当部署、責任者、費用負担部門、確認者など。</w:t>
            </w:r>
          </w:p>
        </w:tc>
      </w:tr>
      <w:tr w:rsidR="00827F95" w14:paraId="1B58905E"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54B12711" w14:textId="77777777" w:rsidR="00827F95" w:rsidRDefault="00FF4C1E">
            <w:pPr>
              <w:spacing w:after="0"/>
            </w:pPr>
            <w:proofErr w:type="spellStart"/>
            <w:r>
              <w:t>タイミング</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2B349583" w14:textId="77777777" w:rsidR="00827F95" w:rsidRDefault="00FF4C1E">
            <w:pPr>
              <w:spacing w:after="0"/>
              <w:rPr>
                <w:lang w:eastAsia="ja-JP"/>
              </w:rPr>
            </w:pPr>
            <w:r>
              <w:rPr>
                <w:lang w:eastAsia="ja-JP"/>
              </w:rPr>
              <w:t>企画・検討、設計・開発、上市後のどの段階で発生するか。</w:t>
            </w:r>
          </w:p>
        </w:tc>
      </w:tr>
      <w:tr w:rsidR="00827F95" w14:paraId="1CC9C91B"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2FA72E75" w14:textId="77777777" w:rsidR="00827F95" w:rsidRDefault="00FF4C1E">
            <w:pPr>
              <w:spacing w:after="0"/>
            </w:pPr>
            <w:proofErr w:type="spellStart"/>
            <w:r>
              <w:t>証跡</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3BADFCD8" w14:textId="77777777" w:rsidR="00827F95" w:rsidRDefault="00FF4C1E">
            <w:pPr>
              <w:spacing w:after="0"/>
              <w:rPr>
                <w:lang w:eastAsia="ja-JP"/>
              </w:rPr>
            </w:pPr>
            <w:r>
              <w:rPr>
                <w:lang w:eastAsia="ja-JP"/>
              </w:rPr>
              <w:t>設計書、テスト結果、契約書、運用記録、承認記録など。</w:t>
            </w:r>
          </w:p>
        </w:tc>
      </w:tr>
      <w:tr w:rsidR="00827F95" w14:paraId="5BACD61E"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0434D419" w14:textId="77777777" w:rsidR="00827F95" w:rsidRDefault="00FF4C1E">
            <w:pPr>
              <w:spacing w:after="0"/>
            </w:pPr>
            <w:proofErr w:type="spellStart"/>
            <w:r>
              <w:lastRenderedPageBreak/>
              <w:t>コスト</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79B97AE7" w14:textId="77777777" w:rsidR="00827F95" w:rsidRDefault="00FF4C1E">
            <w:pPr>
              <w:spacing w:after="0"/>
              <w:rPr>
                <w:lang w:eastAsia="ja-JP"/>
              </w:rPr>
            </w:pPr>
            <w:r>
              <w:rPr>
                <w:lang w:eastAsia="ja-JP"/>
              </w:rPr>
              <w:t>初期費用、ランニングコスト、外部委託費、教育費、監査費など。</w:t>
            </w:r>
          </w:p>
        </w:tc>
      </w:tr>
    </w:tbl>
    <w:p w14:paraId="109F33D0" w14:textId="77777777" w:rsidR="00827F95" w:rsidRDefault="00827F95">
      <w:pPr>
        <w:rPr>
          <w:lang w:eastAsia="ja-JP"/>
        </w:rPr>
      </w:pPr>
    </w:p>
    <w:p w14:paraId="46937027" w14:textId="77777777" w:rsidR="00827F95" w:rsidRDefault="00FF4C1E">
      <w:pPr>
        <w:pStyle w:val="1"/>
        <w:rPr>
          <w:lang w:eastAsia="ja-JP"/>
        </w:rPr>
      </w:pPr>
      <w:r>
        <w:rPr>
          <w:lang w:eastAsia="ja-JP"/>
        </w:rPr>
        <w:t>9. CRA</w:t>
      </w:r>
      <w:r>
        <w:rPr>
          <w:lang w:eastAsia="ja-JP"/>
        </w:rPr>
        <w:t>を題材として用いる理由</w:t>
      </w:r>
    </w:p>
    <w:p w14:paraId="21426DD9" w14:textId="77777777" w:rsidR="00827F95" w:rsidRDefault="00FF4C1E">
      <w:pPr>
        <w:rPr>
          <w:lang w:eastAsia="ja-JP"/>
        </w:rPr>
      </w:pPr>
      <w:r>
        <w:rPr>
          <w:lang w:eastAsia="ja-JP"/>
        </w:rPr>
        <w:t>CRA</w:t>
      </w:r>
      <w:r>
        <w:rPr>
          <w:lang w:eastAsia="ja-JP"/>
        </w:rPr>
        <w:t>を題材として用いる理由は、セキュリティ対応に関する要求が製品ライフサイクル全体にまたがっており、要求事項、対応内容、証跡、担当主体、発生タイミングを整理する題材として適しているためである。</w:t>
      </w:r>
      <w:r>
        <w:rPr>
          <w:lang w:eastAsia="ja-JP"/>
        </w:rPr>
        <w:t>CRA</w:t>
      </w:r>
      <w:r>
        <w:rPr>
          <w:lang w:eastAsia="ja-JP"/>
        </w:rPr>
        <w:t>は、製品の上市前だけでなく、上市後の脆弱性対応、アップデート、情報提供なども含むため、セキュリティ対応コストの発生構造を検討するうえで有用である。</w:t>
      </w:r>
    </w:p>
    <w:p w14:paraId="0C7CE3F8" w14:textId="77777777" w:rsidR="00827F95" w:rsidRDefault="00FF4C1E">
      <w:pPr>
        <w:rPr>
          <w:lang w:eastAsia="ja-JP"/>
        </w:rPr>
      </w:pPr>
      <w:r>
        <w:rPr>
          <w:lang w:eastAsia="ja-JP"/>
        </w:rPr>
        <w:t>ただし、本プロジェクトは</w:t>
      </w:r>
      <w:r>
        <w:rPr>
          <w:lang w:eastAsia="ja-JP"/>
        </w:rPr>
        <w:t>CRA</w:t>
      </w:r>
      <w:r>
        <w:rPr>
          <w:lang w:eastAsia="ja-JP"/>
        </w:rPr>
        <w:t>対応そのものを完了させるための法務文書ではない。</w:t>
      </w:r>
      <w:r>
        <w:rPr>
          <w:lang w:eastAsia="ja-JP"/>
        </w:rPr>
        <w:t>CRA</w:t>
      </w:r>
      <w:r>
        <w:rPr>
          <w:lang w:eastAsia="ja-JP"/>
        </w:rPr>
        <w:t>はくまで、セキュリティ対応に伴う費用発生・担当・証跡を整理するためのモデルケースである。実際の適合性判断や法的解釈は、原文、公式資料、専門家判断に基づいて行う必要がある。</w:t>
      </w:r>
    </w:p>
    <w:p w14:paraId="2E42552C" w14:textId="77777777" w:rsidR="00827F95" w:rsidRDefault="00FF4C1E">
      <w:pPr>
        <w:pStyle w:val="1"/>
        <w:rPr>
          <w:lang w:eastAsia="ja-JP"/>
        </w:rPr>
      </w:pPr>
      <w:r>
        <w:rPr>
          <w:lang w:eastAsia="ja-JP"/>
        </w:rPr>
        <w:t xml:space="preserve">10. </w:t>
      </w:r>
      <w:r>
        <w:rPr>
          <w:lang w:eastAsia="ja-JP"/>
        </w:rPr>
        <w:t>成果物の構成</w:t>
      </w:r>
    </w:p>
    <w:p w14:paraId="41CA35AD" w14:textId="77777777" w:rsidR="00827F95" w:rsidRDefault="00827F95">
      <w:pPr>
        <w:rPr>
          <w:lang w:eastAsia="ja-JP"/>
        </w:rPr>
      </w:pPr>
    </w:p>
    <w:p w14:paraId="057A0CA3" w14:textId="77777777" w:rsidR="00827F95" w:rsidRDefault="00FF4C1E">
      <w:pPr>
        <w:rPr>
          <w:lang w:eastAsia="ja-JP"/>
        </w:rPr>
      </w:pPr>
      <w:r>
        <w:rPr>
          <w:lang w:eastAsia="ja-JP"/>
        </w:rPr>
        <w:t>本プロジェクトでは、一覧管理、入力、条文確認、説明の役割を分けるため、複数の成果物を組み合わせて構成している。単一のファイルにすべてを詰め込むのではなく、利用場面ごとに役割を分担させることで、実務者が必要な情報にアクセスしやすい構成としている。</w:t>
      </w:r>
    </w:p>
    <w:tbl>
      <w:tblPr>
        <w:tblW w:w="9185" w:type="dxa"/>
        <w:jc w:val="center"/>
        <w:tblLayout w:type="fixed"/>
        <w:tblCellMar>
          <w:top w:w="80" w:type="dxa"/>
          <w:left w:w="120" w:type="dxa"/>
          <w:bottom w:w="80" w:type="dxa"/>
          <w:right w:w="120" w:type="dxa"/>
        </w:tblCellMar>
        <w:tblLook w:val="04A0" w:firstRow="1" w:lastRow="0" w:firstColumn="1" w:lastColumn="0" w:noHBand="0" w:noVBand="1"/>
      </w:tblPr>
      <w:tblGrid>
        <w:gridCol w:w="3823"/>
        <w:gridCol w:w="5362"/>
      </w:tblGrid>
      <w:tr w:rsidR="00827F95" w14:paraId="374D8F6C" w14:textId="77777777" w:rsidTr="00494F4D">
        <w:trPr>
          <w:tblHeader/>
          <w:jc w:val="center"/>
        </w:trPr>
        <w:tc>
          <w:tcPr>
            <w:tcW w:w="3823"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36437413" w14:textId="77777777" w:rsidR="00827F95" w:rsidRDefault="00FF4C1E">
            <w:pPr>
              <w:spacing w:after="0"/>
              <w:rPr>
                <w:b/>
              </w:rPr>
            </w:pPr>
            <w:proofErr w:type="spellStart"/>
            <w:r>
              <w:rPr>
                <w:b/>
              </w:rPr>
              <w:t>成果物</w:t>
            </w:r>
            <w:proofErr w:type="spellEnd"/>
          </w:p>
        </w:tc>
        <w:tc>
          <w:tcPr>
            <w:tcW w:w="5362"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54C8D2D8" w14:textId="77777777" w:rsidR="00827F95" w:rsidRDefault="00FF4C1E">
            <w:pPr>
              <w:spacing w:after="0"/>
              <w:rPr>
                <w:b/>
              </w:rPr>
            </w:pPr>
            <w:proofErr w:type="spellStart"/>
            <w:r>
              <w:rPr>
                <w:b/>
              </w:rPr>
              <w:t>位置づけ</w:t>
            </w:r>
            <w:proofErr w:type="spellEnd"/>
          </w:p>
        </w:tc>
      </w:tr>
      <w:tr w:rsidR="00827F95" w14:paraId="54C652A0" w14:textId="77777777" w:rsidTr="00494F4D">
        <w:trPr>
          <w:jc w:val="center"/>
        </w:trPr>
        <w:tc>
          <w:tcPr>
            <w:tcW w:w="3823" w:type="dxa"/>
            <w:tcBorders>
              <w:top w:val="single" w:sz="4" w:space="0" w:color="B8C2CC"/>
              <w:left w:val="single" w:sz="4" w:space="0" w:color="B8C2CC"/>
              <w:bottom w:val="single" w:sz="4" w:space="0" w:color="B8C2CC"/>
              <w:right w:val="single" w:sz="4" w:space="0" w:color="B8C2CC"/>
            </w:tcBorders>
            <w:vAlign w:val="center"/>
          </w:tcPr>
          <w:p w14:paraId="3583EBBD" w14:textId="3FD6FE13" w:rsidR="00827F95" w:rsidRDefault="00FF4C1E">
            <w:pPr>
              <w:spacing w:after="0"/>
              <w:rPr>
                <w:lang w:eastAsia="ja-JP"/>
              </w:rPr>
            </w:pPr>
            <w:r>
              <w:rPr>
                <w:lang w:eastAsia="ja-JP"/>
              </w:rPr>
              <w:t>セキュリティ投資・コスト回収</w:t>
            </w:r>
            <w:r w:rsidR="00494F4D">
              <w:rPr>
                <w:rFonts w:hint="eastAsia"/>
                <w:lang w:eastAsia="ja-JP"/>
              </w:rPr>
              <w:t>検討</w:t>
            </w:r>
            <w:r>
              <w:rPr>
                <w:lang w:eastAsia="ja-JP"/>
              </w:rPr>
              <w:t>モデル管理カード（</w:t>
            </w:r>
            <w:r>
              <w:rPr>
                <w:lang w:eastAsia="ja-JP"/>
              </w:rPr>
              <w:t>xlsx</w:t>
            </w:r>
            <w:r>
              <w:rPr>
                <w:lang w:eastAsia="ja-JP"/>
              </w:rPr>
              <w:t>形式）</w:t>
            </w:r>
          </w:p>
        </w:tc>
        <w:tc>
          <w:tcPr>
            <w:tcW w:w="5362" w:type="dxa"/>
            <w:tcBorders>
              <w:top w:val="single" w:sz="4" w:space="0" w:color="B8C2CC"/>
              <w:left w:val="single" w:sz="4" w:space="0" w:color="B8C2CC"/>
              <w:bottom w:val="single" w:sz="4" w:space="0" w:color="B8C2CC"/>
              <w:right w:val="single" w:sz="4" w:space="0" w:color="B8C2CC"/>
            </w:tcBorders>
            <w:vAlign w:val="center"/>
          </w:tcPr>
          <w:p w14:paraId="20F792C5" w14:textId="77777777" w:rsidR="00827F95" w:rsidRDefault="00FF4C1E">
            <w:pPr>
              <w:spacing w:after="0"/>
              <w:rPr>
                <w:lang w:eastAsia="ja-JP"/>
              </w:rPr>
            </w:pPr>
            <w:r>
              <w:rPr>
                <w:lang w:eastAsia="ja-JP"/>
              </w:rPr>
              <w:t>対応項目、分類、担当主体、フェイズ、コスト区分などを一覧で管理する台帳。</w:t>
            </w:r>
          </w:p>
        </w:tc>
      </w:tr>
      <w:tr w:rsidR="00827F95" w14:paraId="567F4CFD" w14:textId="77777777" w:rsidTr="00494F4D">
        <w:trPr>
          <w:jc w:val="center"/>
        </w:trPr>
        <w:tc>
          <w:tcPr>
            <w:tcW w:w="3823" w:type="dxa"/>
            <w:tcBorders>
              <w:top w:val="single" w:sz="4" w:space="0" w:color="B8C2CC"/>
              <w:left w:val="single" w:sz="4" w:space="0" w:color="B8C2CC"/>
              <w:bottom w:val="single" w:sz="4" w:space="0" w:color="B8C2CC"/>
              <w:right w:val="single" w:sz="4" w:space="0" w:color="B8C2CC"/>
            </w:tcBorders>
            <w:vAlign w:val="center"/>
          </w:tcPr>
          <w:p w14:paraId="575CB3C4" w14:textId="49E49536" w:rsidR="00827F95" w:rsidRDefault="00FF4C1E">
            <w:pPr>
              <w:spacing w:after="0"/>
              <w:rPr>
                <w:lang w:eastAsia="ja-JP"/>
              </w:rPr>
            </w:pPr>
            <w:r>
              <w:rPr>
                <w:lang w:eastAsia="ja-JP"/>
              </w:rPr>
              <w:t>セキュリティ投資・コスト回収</w:t>
            </w:r>
            <w:r w:rsidR="00494F4D">
              <w:rPr>
                <w:rFonts w:hint="eastAsia"/>
                <w:lang w:eastAsia="ja-JP"/>
              </w:rPr>
              <w:t>検討</w:t>
            </w:r>
            <w:r>
              <w:rPr>
                <w:lang w:eastAsia="ja-JP"/>
              </w:rPr>
              <w:t>モデル記入用カード</w:t>
            </w:r>
            <w:r>
              <w:rPr>
                <w:lang w:eastAsia="ja-JP"/>
              </w:rPr>
              <w:t>(pptx</w:t>
            </w:r>
            <w:r>
              <w:rPr>
                <w:lang w:eastAsia="ja-JP"/>
              </w:rPr>
              <w:t>形式</w:t>
            </w:r>
            <w:r>
              <w:rPr>
                <w:lang w:eastAsia="ja-JP"/>
              </w:rPr>
              <w:t>)</w:t>
            </w:r>
          </w:p>
        </w:tc>
        <w:tc>
          <w:tcPr>
            <w:tcW w:w="5362" w:type="dxa"/>
            <w:tcBorders>
              <w:top w:val="single" w:sz="4" w:space="0" w:color="B8C2CC"/>
              <w:left w:val="single" w:sz="4" w:space="0" w:color="B8C2CC"/>
              <w:bottom w:val="single" w:sz="4" w:space="0" w:color="B8C2CC"/>
              <w:right w:val="single" w:sz="4" w:space="0" w:color="B8C2CC"/>
            </w:tcBorders>
            <w:vAlign w:val="center"/>
          </w:tcPr>
          <w:p w14:paraId="1A6958C5" w14:textId="77777777" w:rsidR="00827F95" w:rsidRDefault="00FF4C1E">
            <w:pPr>
              <w:spacing w:after="0"/>
              <w:rPr>
                <w:lang w:eastAsia="ja-JP"/>
              </w:rPr>
            </w:pPr>
            <w:r>
              <w:rPr>
                <w:lang w:eastAsia="ja-JP"/>
              </w:rPr>
              <w:t>項目ごとの入力カード、条文確認カード、説明スライドを含む実務者向け資料。</w:t>
            </w:r>
          </w:p>
        </w:tc>
      </w:tr>
      <w:tr w:rsidR="00827F95" w14:paraId="233BA499" w14:textId="77777777" w:rsidTr="00494F4D">
        <w:trPr>
          <w:jc w:val="center"/>
        </w:trPr>
        <w:tc>
          <w:tcPr>
            <w:tcW w:w="3823" w:type="dxa"/>
            <w:tcBorders>
              <w:top w:val="single" w:sz="4" w:space="0" w:color="B8C2CC"/>
              <w:left w:val="single" w:sz="4" w:space="0" w:color="B8C2CC"/>
              <w:bottom w:val="single" w:sz="4" w:space="0" w:color="B8C2CC"/>
              <w:right w:val="single" w:sz="4" w:space="0" w:color="B8C2CC"/>
            </w:tcBorders>
            <w:vAlign w:val="center"/>
          </w:tcPr>
          <w:p w14:paraId="6CB9746D" w14:textId="77777777" w:rsidR="00827F95" w:rsidRDefault="00FF4C1E">
            <w:pPr>
              <w:spacing w:after="0"/>
            </w:pPr>
            <w:proofErr w:type="spellStart"/>
            <w:r>
              <w:t>本書</w:t>
            </w:r>
            <w:proofErr w:type="spellEnd"/>
          </w:p>
        </w:tc>
        <w:tc>
          <w:tcPr>
            <w:tcW w:w="5362" w:type="dxa"/>
            <w:tcBorders>
              <w:top w:val="single" w:sz="4" w:space="0" w:color="B8C2CC"/>
              <w:left w:val="single" w:sz="4" w:space="0" w:color="B8C2CC"/>
              <w:bottom w:val="single" w:sz="4" w:space="0" w:color="B8C2CC"/>
              <w:right w:val="single" w:sz="4" w:space="0" w:color="B8C2CC"/>
            </w:tcBorders>
            <w:vAlign w:val="center"/>
          </w:tcPr>
          <w:p w14:paraId="21B476BB" w14:textId="77777777" w:rsidR="00827F95" w:rsidRDefault="00FF4C1E">
            <w:pPr>
              <w:spacing w:after="0"/>
              <w:rPr>
                <w:lang w:eastAsia="ja-JP"/>
              </w:rPr>
            </w:pPr>
            <w:r>
              <w:rPr>
                <w:lang w:eastAsia="ja-JP"/>
              </w:rPr>
              <w:t>プロジェクト全体の背景、目的、成果物、使い方、留意事項を説明する文書。</w:t>
            </w:r>
          </w:p>
        </w:tc>
      </w:tr>
    </w:tbl>
    <w:p w14:paraId="4226520E" w14:textId="77777777" w:rsidR="00827F95" w:rsidRDefault="00FF4C1E">
      <w:pPr>
        <w:pStyle w:val="1"/>
        <w:rPr>
          <w:lang w:eastAsia="ja-JP"/>
        </w:rPr>
      </w:pPr>
      <w:r>
        <w:rPr>
          <w:lang w:eastAsia="ja-JP"/>
        </w:rPr>
        <w:lastRenderedPageBreak/>
        <w:t xml:space="preserve">11. </w:t>
      </w:r>
      <w:r>
        <w:rPr>
          <w:lang w:eastAsia="ja-JP"/>
        </w:rPr>
        <w:t>各成果物の役割</w:t>
      </w:r>
    </w:p>
    <w:p w14:paraId="5326C012" w14:textId="77777777" w:rsidR="00827F95" w:rsidRDefault="00FF4C1E">
      <w:pPr>
        <w:rPr>
          <w:lang w:eastAsia="ja-JP"/>
        </w:rPr>
      </w:pPr>
      <w:r>
        <w:rPr>
          <w:lang w:eastAsia="ja-JP"/>
        </w:rPr>
        <w:t>各成果物は、同じ情報を別の形式で持つのではなく、それぞれ異なる利用目的を持ち。</w:t>
      </w:r>
      <w:r>
        <w:rPr>
          <w:lang w:eastAsia="ja-JP"/>
        </w:rPr>
        <w:t>Excel</w:t>
      </w:r>
      <w:r>
        <w:rPr>
          <w:lang w:eastAsia="ja-JP"/>
        </w:rPr>
        <w:t>は一覧性と管理性、</w:t>
      </w:r>
      <w:r>
        <w:rPr>
          <w:lang w:eastAsia="ja-JP"/>
        </w:rPr>
        <w:t>PPTX</w:t>
      </w:r>
      <w:r>
        <w:rPr>
          <w:lang w:eastAsia="ja-JP"/>
        </w:rPr>
        <w:t>は入力・説明のしやすさ、本書はプロジェクト全体の説明を担う。</w:t>
      </w:r>
    </w:p>
    <w:p w14:paraId="10A35C57" w14:textId="77777777" w:rsidR="00827F95" w:rsidRDefault="00FF4C1E">
      <w:pPr>
        <w:pStyle w:val="a0"/>
        <w:rPr>
          <w:lang w:eastAsia="ja-JP"/>
        </w:rPr>
      </w:pPr>
      <w:r>
        <w:rPr>
          <w:lang w:eastAsia="ja-JP"/>
        </w:rPr>
        <w:t>Excel</w:t>
      </w:r>
      <w:r>
        <w:rPr>
          <w:lang w:eastAsia="ja-JP"/>
        </w:rPr>
        <w:t>は、項目の追加、修正、分類、フィルタリング、集計を行うための管理台帳である。</w:t>
      </w:r>
    </w:p>
    <w:p w14:paraId="661A3B5D" w14:textId="77777777" w:rsidR="00827F95" w:rsidRDefault="00FF4C1E">
      <w:pPr>
        <w:pStyle w:val="a0"/>
        <w:rPr>
          <w:lang w:eastAsia="ja-JP"/>
        </w:rPr>
      </w:pPr>
      <w:r>
        <w:rPr>
          <w:lang w:eastAsia="ja-JP"/>
        </w:rPr>
        <w:t>PPTX</w:t>
      </w:r>
      <w:r>
        <w:rPr>
          <w:lang w:eastAsia="ja-JP"/>
        </w:rPr>
        <w:t>は、実務者が項目ごとに対応内容や証跡を書き込むためのカード型資料である。</w:t>
      </w:r>
    </w:p>
    <w:p w14:paraId="17643CBF" w14:textId="77777777" w:rsidR="00827F95" w:rsidRDefault="00FF4C1E">
      <w:pPr>
        <w:pStyle w:val="1"/>
        <w:rPr>
          <w:lang w:eastAsia="ja-JP"/>
        </w:rPr>
      </w:pPr>
      <w:r>
        <w:rPr>
          <w:lang w:eastAsia="ja-JP"/>
        </w:rPr>
        <w:t xml:space="preserve">12. </w:t>
      </w:r>
      <w:r>
        <w:rPr>
          <w:lang w:eastAsia="ja-JP"/>
        </w:rPr>
        <w:t>フレームワークの利用方法</w:t>
      </w:r>
    </w:p>
    <w:p w14:paraId="7B7B3CAE" w14:textId="77777777" w:rsidR="00827F95" w:rsidRDefault="00FF4C1E">
      <w:pPr>
        <w:rPr>
          <w:lang w:eastAsia="ja-JP"/>
        </w:rPr>
      </w:pPr>
      <w:r>
        <w:rPr>
          <w:lang w:eastAsia="ja-JP"/>
        </w:rPr>
        <w:t>本フレームワークは、要求事項を確認し、対応項目に分解し、担当主体と発生タイミングを設定し、証跡とコスト情報を紐づける流れで利用する。最終的には、対応状況の確認だけでなく、費用発生の構造や投資判断に必要な情報を整理することを目指す。</w:t>
      </w:r>
    </w:p>
    <w:p w14:paraId="41D3E27C" w14:textId="77777777" w:rsidR="00827F95" w:rsidRDefault="00FF4C1E">
      <w:pPr>
        <w:pStyle w:val="a"/>
        <w:rPr>
          <w:lang w:eastAsia="ja-JP"/>
        </w:rPr>
      </w:pPr>
      <w:r>
        <w:rPr>
          <w:lang w:eastAsia="ja-JP"/>
        </w:rPr>
        <w:t>対象となる要求事項を確認し、対応項目として整理する。</w:t>
      </w:r>
    </w:p>
    <w:p w14:paraId="78A491E0" w14:textId="77777777" w:rsidR="00827F95" w:rsidRDefault="00FF4C1E">
      <w:pPr>
        <w:pStyle w:val="a"/>
        <w:rPr>
          <w:lang w:eastAsia="ja-JP"/>
        </w:rPr>
      </w:pPr>
      <w:r>
        <w:rPr>
          <w:lang w:eastAsia="ja-JP"/>
        </w:rPr>
        <w:t>対応項目ごとに、担当主体、責任者、対象製品・サービスを設定する。</w:t>
      </w:r>
    </w:p>
    <w:p w14:paraId="5C7D2E9E" w14:textId="77777777" w:rsidR="00827F95" w:rsidRDefault="00FF4C1E">
      <w:pPr>
        <w:pStyle w:val="a"/>
        <w:rPr>
          <w:lang w:eastAsia="ja-JP"/>
        </w:rPr>
      </w:pPr>
      <w:r>
        <w:rPr>
          <w:lang w:eastAsia="ja-JP"/>
        </w:rPr>
        <w:t>対応が発生するフェイズを、企画・検討、設計・開発、上市後の観点で整理する。</w:t>
      </w:r>
    </w:p>
    <w:p w14:paraId="49724122" w14:textId="77777777" w:rsidR="00827F95" w:rsidRDefault="00FF4C1E">
      <w:pPr>
        <w:pStyle w:val="a"/>
        <w:rPr>
          <w:lang w:eastAsia="ja-JP"/>
        </w:rPr>
      </w:pPr>
      <w:r>
        <w:rPr>
          <w:lang w:eastAsia="ja-JP"/>
        </w:rPr>
        <w:t>自社の現在の対応、判断結果、証跡、確認者、確認日を記入する。</w:t>
      </w:r>
    </w:p>
    <w:p w14:paraId="3F39981C" w14:textId="77777777" w:rsidR="00827F95" w:rsidRDefault="00FF4C1E">
      <w:pPr>
        <w:pStyle w:val="a"/>
        <w:rPr>
          <w:lang w:eastAsia="ja-JP"/>
        </w:rPr>
      </w:pPr>
      <w:r>
        <w:rPr>
          <w:lang w:eastAsia="ja-JP"/>
        </w:rPr>
        <w:t>対応に伴う費用を、初期費用、ランニングコスト、外部委託費などに分類する。</w:t>
      </w:r>
    </w:p>
    <w:p w14:paraId="1F8D2D16" w14:textId="77777777" w:rsidR="00827F95" w:rsidRDefault="00FF4C1E">
      <w:pPr>
        <w:pStyle w:val="a"/>
        <w:rPr>
          <w:lang w:eastAsia="ja-JP"/>
        </w:rPr>
      </w:pPr>
      <w:r>
        <w:rPr>
          <w:lang w:eastAsia="ja-JP"/>
        </w:rPr>
        <w:t>未対応項目、要確認項目、費用負担が不明な項目を抽出し、追加検討につなげる。</w:t>
      </w:r>
    </w:p>
    <w:p w14:paraId="06076057" w14:textId="77777777" w:rsidR="00827F95" w:rsidRDefault="00FF4C1E">
      <w:pPr>
        <w:pStyle w:val="1"/>
        <w:rPr>
          <w:lang w:eastAsia="ja-JP"/>
        </w:rPr>
      </w:pPr>
      <w:r>
        <w:rPr>
          <w:lang w:eastAsia="ja-JP"/>
        </w:rPr>
        <w:t xml:space="preserve">13. </w:t>
      </w:r>
      <w:r>
        <w:rPr>
          <w:lang w:eastAsia="ja-JP"/>
        </w:rPr>
        <w:t>入力・分析・管理の考え方</w:t>
      </w:r>
    </w:p>
    <w:p w14:paraId="640797AF" w14:textId="77777777" w:rsidR="00827F95" w:rsidRDefault="00FF4C1E">
      <w:pPr>
        <w:rPr>
          <w:lang w:eastAsia="ja-JP"/>
        </w:rPr>
      </w:pPr>
      <w:r>
        <w:rPr>
          <w:lang w:eastAsia="ja-JP"/>
        </w:rPr>
        <w:t>入力時には、単に対応済みかどうかを記録するだけでなく、誰が、いつ、何を根拠に判断したのかを残すことが重要である。これにより、後から対応状況を説明するだけでなく、どの対応にどの程度のコストが発生しているのかを分析しやすくなる。</w:t>
      </w:r>
    </w:p>
    <w:tbl>
      <w:tblPr>
        <w:tblW w:w="9185" w:type="dxa"/>
        <w:jc w:val="center"/>
        <w:tblLayout w:type="fixed"/>
        <w:tblCellMar>
          <w:top w:w="80" w:type="dxa"/>
          <w:left w:w="120" w:type="dxa"/>
          <w:bottom w:w="80" w:type="dxa"/>
          <w:right w:w="120" w:type="dxa"/>
        </w:tblCellMar>
        <w:tblLook w:val="04A0" w:firstRow="1" w:lastRow="0" w:firstColumn="1" w:lastColumn="0" w:noHBand="0" w:noVBand="1"/>
      </w:tblPr>
      <w:tblGrid>
        <w:gridCol w:w="2266"/>
        <w:gridCol w:w="6919"/>
      </w:tblGrid>
      <w:tr w:rsidR="00827F95" w14:paraId="43E42669" w14:textId="77777777">
        <w:trPr>
          <w:tblHeader/>
          <w:jc w:val="center"/>
        </w:trPr>
        <w:tc>
          <w:tcPr>
            <w:tcW w:w="2266"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1253099E" w14:textId="77777777" w:rsidR="00827F95" w:rsidRDefault="00FF4C1E">
            <w:pPr>
              <w:spacing w:after="0"/>
              <w:rPr>
                <w:b/>
              </w:rPr>
            </w:pPr>
            <w:proofErr w:type="spellStart"/>
            <w:r>
              <w:rPr>
                <w:b/>
              </w:rPr>
              <w:t>観点</w:t>
            </w:r>
            <w:proofErr w:type="spellEnd"/>
          </w:p>
        </w:tc>
        <w:tc>
          <w:tcPr>
            <w:tcW w:w="6919"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16A49B3D" w14:textId="77777777" w:rsidR="00827F95" w:rsidRDefault="00FF4C1E">
            <w:pPr>
              <w:spacing w:after="0"/>
              <w:rPr>
                <w:b/>
              </w:rPr>
            </w:pPr>
            <w:proofErr w:type="spellStart"/>
            <w:r>
              <w:rPr>
                <w:b/>
              </w:rPr>
              <w:t>確認すること</w:t>
            </w:r>
            <w:proofErr w:type="spellEnd"/>
          </w:p>
        </w:tc>
      </w:tr>
      <w:tr w:rsidR="00827F95" w14:paraId="5A45642D"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22A26D47" w14:textId="77777777" w:rsidR="00827F95" w:rsidRDefault="00FF4C1E">
            <w:pPr>
              <w:spacing w:after="0"/>
            </w:pPr>
            <w:proofErr w:type="spellStart"/>
            <w:r>
              <w:t>入力</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4C46FC2F" w14:textId="77777777" w:rsidR="00827F95" w:rsidRDefault="00FF4C1E">
            <w:pPr>
              <w:spacing w:after="0"/>
              <w:rPr>
                <w:lang w:eastAsia="ja-JP"/>
              </w:rPr>
            </w:pPr>
            <w:r>
              <w:rPr>
                <w:lang w:eastAsia="ja-JP"/>
              </w:rPr>
              <w:t>対応内容、担当主体、証跡、確認者、確認日を記入する。</w:t>
            </w:r>
          </w:p>
        </w:tc>
      </w:tr>
      <w:tr w:rsidR="00827F95" w14:paraId="31EFFDB4"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3320E8AB" w14:textId="77777777" w:rsidR="00827F95" w:rsidRDefault="00FF4C1E">
            <w:pPr>
              <w:spacing w:after="0"/>
            </w:pPr>
            <w:proofErr w:type="spellStart"/>
            <w:r>
              <w:t>分析</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108AA531" w14:textId="77777777" w:rsidR="00827F95" w:rsidRDefault="00FF4C1E">
            <w:pPr>
              <w:spacing w:after="0"/>
              <w:rPr>
                <w:lang w:eastAsia="ja-JP"/>
              </w:rPr>
            </w:pPr>
            <w:r>
              <w:rPr>
                <w:lang w:eastAsia="ja-JP"/>
              </w:rPr>
              <w:t>発生フェイズ、コスト区分、負担主体、未対応項目を集計・比較する。</w:t>
            </w:r>
          </w:p>
        </w:tc>
      </w:tr>
      <w:tr w:rsidR="00827F95" w14:paraId="4E2394D7"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5EE49F02" w14:textId="77777777" w:rsidR="00827F95" w:rsidRDefault="00FF4C1E">
            <w:pPr>
              <w:spacing w:after="0"/>
            </w:pPr>
            <w:proofErr w:type="spellStart"/>
            <w:r>
              <w:t>管理</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03B4E78C" w14:textId="77777777" w:rsidR="00827F95" w:rsidRDefault="00FF4C1E">
            <w:pPr>
              <w:spacing w:after="0"/>
              <w:rPr>
                <w:lang w:eastAsia="ja-JP"/>
              </w:rPr>
            </w:pPr>
            <w:r>
              <w:rPr>
                <w:lang w:eastAsia="ja-JP"/>
              </w:rPr>
              <w:t>元データ、生成資料、確認履歴、レビュー履歴を分けて管理する。</w:t>
            </w:r>
          </w:p>
        </w:tc>
      </w:tr>
      <w:tr w:rsidR="00827F95" w14:paraId="50A99E1D"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4611D1AC" w14:textId="77777777" w:rsidR="00827F95" w:rsidRDefault="00FF4C1E">
            <w:pPr>
              <w:spacing w:after="0"/>
            </w:pPr>
            <w:proofErr w:type="spellStart"/>
            <w:r>
              <w:t>更新</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34A59DF5" w14:textId="77777777" w:rsidR="00827F95" w:rsidRDefault="00FF4C1E">
            <w:pPr>
              <w:spacing w:after="0"/>
              <w:rPr>
                <w:lang w:eastAsia="ja-JP"/>
              </w:rPr>
            </w:pPr>
            <w:r>
              <w:rPr>
                <w:lang w:eastAsia="ja-JP"/>
              </w:rPr>
              <w:t>条文、規格、社内方針、製品仕様の変更に応じて項目を更新する。</w:t>
            </w:r>
          </w:p>
        </w:tc>
      </w:tr>
    </w:tbl>
    <w:p w14:paraId="16239DC6" w14:textId="77777777" w:rsidR="00827F95" w:rsidRDefault="00827F95">
      <w:pPr>
        <w:rPr>
          <w:lang w:eastAsia="ja-JP"/>
        </w:rPr>
      </w:pPr>
    </w:p>
    <w:p w14:paraId="6F68633C" w14:textId="77777777" w:rsidR="00827F95" w:rsidRDefault="00FF4C1E">
      <w:pPr>
        <w:pStyle w:val="1"/>
        <w:rPr>
          <w:lang w:eastAsia="ja-JP"/>
        </w:rPr>
      </w:pPr>
      <w:r>
        <w:rPr>
          <w:lang w:eastAsia="ja-JP"/>
        </w:rPr>
        <w:t xml:space="preserve">14. </w:t>
      </w:r>
      <w:r>
        <w:rPr>
          <w:lang w:eastAsia="ja-JP"/>
        </w:rPr>
        <w:t>想定利用者</w:t>
      </w:r>
    </w:p>
    <w:p w14:paraId="12B3D861" w14:textId="77777777" w:rsidR="00827F95" w:rsidRDefault="00FF4C1E">
      <w:pPr>
        <w:rPr>
          <w:lang w:eastAsia="ja-JP"/>
        </w:rPr>
      </w:pPr>
      <w:r>
        <w:rPr>
          <w:lang w:eastAsia="ja-JP"/>
        </w:rPr>
        <w:t>本フレームワークは、単一の担当者だけで利用するものではなく、複数部門が共通の観点で対応状況と費用発生を確認するためのものである。利用者ごとに見るべき観点が異なるため、入力者、確認者、分析者、意思決定者の役割を分けて考える必要がある。</w:t>
      </w:r>
    </w:p>
    <w:tbl>
      <w:tblPr>
        <w:tblW w:w="9185" w:type="dxa"/>
        <w:jc w:val="center"/>
        <w:tblLayout w:type="fixed"/>
        <w:tblCellMar>
          <w:top w:w="80" w:type="dxa"/>
          <w:left w:w="120" w:type="dxa"/>
          <w:bottom w:w="80" w:type="dxa"/>
          <w:right w:w="120" w:type="dxa"/>
        </w:tblCellMar>
        <w:tblLook w:val="04A0" w:firstRow="1" w:lastRow="0" w:firstColumn="1" w:lastColumn="0" w:noHBand="0" w:noVBand="1"/>
      </w:tblPr>
      <w:tblGrid>
        <w:gridCol w:w="2266"/>
        <w:gridCol w:w="6919"/>
      </w:tblGrid>
      <w:tr w:rsidR="00827F95" w14:paraId="3C7FC109" w14:textId="77777777">
        <w:trPr>
          <w:tblHeader/>
          <w:jc w:val="center"/>
        </w:trPr>
        <w:tc>
          <w:tcPr>
            <w:tcW w:w="2266"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1880C427" w14:textId="77777777" w:rsidR="00827F95" w:rsidRDefault="00FF4C1E">
            <w:pPr>
              <w:spacing w:after="0"/>
              <w:rPr>
                <w:b/>
              </w:rPr>
            </w:pPr>
            <w:proofErr w:type="spellStart"/>
            <w:r>
              <w:rPr>
                <w:b/>
              </w:rPr>
              <w:t>利用者</w:t>
            </w:r>
            <w:proofErr w:type="spellEnd"/>
          </w:p>
        </w:tc>
        <w:tc>
          <w:tcPr>
            <w:tcW w:w="6919" w:type="dxa"/>
            <w:tcBorders>
              <w:top w:val="single" w:sz="4" w:space="0" w:color="B8C2CC"/>
              <w:left w:val="single" w:sz="4" w:space="0" w:color="B8C2CC"/>
              <w:bottom w:val="single" w:sz="4" w:space="0" w:color="B8C2CC"/>
              <w:right w:val="single" w:sz="4" w:space="0" w:color="B8C2CC"/>
            </w:tcBorders>
            <w:shd w:val="clear" w:color="auto" w:fill="F2F4F7"/>
            <w:vAlign w:val="center"/>
          </w:tcPr>
          <w:p w14:paraId="1EF1C783" w14:textId="77777777" w:rsidR="00827F95" w:rsidRDefault="00FF4C1E">
            <w:pPr>
              <w:spacing w:after="0"/>
              <w:rPr>
                <w:b/>
              </w:rPr>
            </w:pPr>
            <w:proofErr w:type="spellStart"/>
            <w:r>
              <w:rPr>
                <w:b/>
              </w:rPr>
              <w:t>主な関心</w:t>
            </w:r>
            <w:proofErr w:type="spellEnd"/>
          </w:p>
        </w:tc>
      </w:tr>
      <w:tr w:rsidR="00827F95" w14:paraId="1EE57D27"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0C1D44F3" w14:textId="77777777" w:rsidR="00827F95" w:rsidRDefault="00FF4C1E">
            <w:pPr>
              <w:spacing w:after="0"/>
            </w:pPr>
            <w:proofErr w:type="spellStart"/>
            <w:r>
              <w:t>実務担当者</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59EAC71D" w14:textId="77777777" w:rsidR="00827F95" w:rsidRDefault="00FF4C1E">
            <w:pPr>
              <w:spacing w:after="0"/>
              <w:rPr>
                <w:lang w:eastAsia="ja-JP"/>
              </w:rPr>
            </w:pPr>
            <w:r>
              <w:rPr>
                <w:lang w:eastAsia="ja-JP"/>
              </w:rPr>
              <w:t>自部門で行う対応内容、証跡、未対応項目を確認する。</w:t>
            </w:r>
          </w:p>
        </w:tc>
      </w:tr>
      <w:tr w:rsidR="00827F95" w14:paraId="06D6BDDF"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64FEFDEF" w14:textId="77777777" w:rsidR="00827F95" w:rsidRDefault="00FF4C1E">
            <w:pPr>
              <w:spacing w:after="0"/>
            </w:pPr>
            <w:proofErr w:type="spellStart"/>
            <w:r>
              <w:t>管理者・責任者</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25609F94" w14:textId="77777777" w:rsidR="00827F95" w:rsidRDefault="00FF4C1E">
            <w:pPr>
              <w:spacing w:after="0"/>
              <w:rPr>
                <w:lang w:eastAsia="ja-JP"/>
              </w:rPr>
            </w:pPr>
            <w:r>
              <w:rPr>
                <w:lang w:eastAsia="ja-JP"/>
              </w:rPr>
              <w:t>対応状況、担当分担、判断結果、リスクを確認する。</w:t>
            </w:r>
          </w:p>
        </w:tc>
      </w:tr>
      <w:tr w:rsidR="00827F95" w14:paraId="57BC063B"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773EC3F6" w14:textId="77777777" w:rsidR="00827F95" w:rsidRDefault="00FF4C1E">
            <w:pPr>
              <w:spacing w:after="0"/>
            </w:pPr>
            <w:proofErr w:type="spellStart"/>
            <w:r>
              <w:t>分析者</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3DF0BE29" w14:textId="77777777" w:rsidR="00827F95" w:rsidRDefault="00FF4C1E">
            <w:pPr>
              <w:spacing w:after="0"/>
              <w:rPr>
                <w:lang w:eastAsia="ja-JP"/>
              </w:rPr>
            </w:pPr>
            <w:r>
              <w:rPr>
                <w:lang w:eastAsia="ja-JP"/>
              </w:rPr>
              <w:t>発生タイミング、費用区分、負担主体、回収可能性を分析する。</w:t>
            </w:r>
          </w:p>
        </w:tc>
      </w:tr>
      <w:tr w:rsidR="00827F95" w14:paraId="69767753"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6347EF61" w14:textId="77777777" w:rsidR="00827F95" w:rsidRDefault="00FF4C1E">
            <w:pPr>
              <w:spacing w:after="0"/>
            </w:pPr>
            <w:proofErr w:type="spellStart"/>
            <w:r>
              <w:t>意思決定者</w:t>
            </w:r>
            <w:proofErr w:type="spellEnd"/>
          </w:p>
        </w:tc>
        <w:tc>
          <w:tcPr>
            <w:tcW w:w="6919" w:type="dxa"/>
            <w:tcBorders>
              <w:top w:val="single" w:sz="4" w:space="0" w:color="B8C2CC"/>
              <w:left w:val="single" w:sz="4" w:space="0" w:color="B8C2CC"/>
              <w:bottom w:val="single" w:sz="4" w:space="0" w:color="B8C2CC"/>
              <w:right w:val="single" w:sz="4" w:space="0" w:color="B8C2CC"/>
            </w:tcBorders>
            <w:vAlign w:val="center"/>
          </w:tcPr>
          <w:p w14:paraId="59B7564C" w14:textId="77777777" w:rsidR="00827F95" w:rsidRDefault="00FF4C1E">
            <w:pPr>
              <w:spacing w:after="0"/>
              <w:rPr>
                <w:lang w:eastAsia="ja-JP"/>
              </w:rPr>
            </w:pPr>
            <w:r>
              <w:rPr>
                <w:lang w:eastAsia="ja-JP"/>
              </w:rPr>
              <w:t>投資判断、優先順位、費用負担、回収方針を検討する。</w:t>
            </w:r>
          </w:p>
        </w:tc>
      </w:tr>
      <w:tr w:rsidR="00827F95" w14:paraId="645341B1" w14:textId="77777777">
        <w:trPr>
          <w:jc w:val="center"/>
        </w:trPr>
        <w:tc>
          <w:tcPr>
            <w:tcW w:w="2266" w:type="dxa"/>
            <w:tcBorders>
              <w:top w:val="single" w:sz="4" w:space="0" w:color="B8C2CC"/>
              <w:left w:val="single" w:sz="4" w:space="0" w:color="B8C2CC"/>
              <w:bottom w:val="single" w:sz="4" w:space="0" w:color="B8C2CC"/>
              <w:right w:val="single" w:sz="4" w:space="0" w:color="B8C2CC"/>
            </w:tcBorders>
            <w:vAlign w:val="center"/>
          </w:tcPr>
          <w:p w14:paraId="00CCA391" w14:textId="77777777" w:rsidR="00827F95" w:rsidRDefault="00FF4C1E">
            <w:pPr>
              <w:spacing w:after="0"/>
              <w:rPr>
                <w:lang w:eastAsia="ja-JP"/>
              </w:rPr>
            </w:pPr>
            <w:r>
              <w:rPr>
                <w:lang w:eastAsia="ja-JP"/>
              </w:rPr>
              <w:t>法務・セキュリティ部門</w:t>
            </w:r>
          </w:p>
        </w:tc>
        <w:tc>
          <w:tcPr>
            <w:tcW w:w="6919" w:type="dxa"/>
            <w:tcBorders>
              <w:top w:val="single" w:sz="4" w:space="0" w:color="B8C2CC"/>
              <w:left w:val="single" w:sz="4" w:space="0" w:color="B8C2CC"/>
              <w:bottom w:val="single" w:sz="4" w:space="0" w:color="B8C2CC"/>
              <w:right w:val="single" w:sz="4" w:space="0" w:color="B8C2CC"/>
            </w:tcBorders>
            <w:vAlign w:val="center"/>
          </w:tcPr>
          <w:p w14:paraId="45ABA12E" w14:textId="77777777" w:rsidR="00827F95" w:rsidRDefault="00FF4C1E">
            <w:pPr>
              <w:spacing w:after="0"/>
              <w:rPr>
                <w:lang w:eastAsia="ja-JP"/>
              </w:rPr>
            </w:pPr>
            <w:r>
              <w:rPr>
                <w:lang w:eastAsia="ja-JP"/>
              </w:rPr>
              <w:t>要求事項、条文、規格、証跡の妥当性を確認する。</w:t>
            </w:r>
          </w:p>
        </w:tc>
      </w:tr>
    </w:tbl>
    <w:p w14:paraId="690C22C0" w14:textId="77777777" w:rsidR="00827F95" w:rsidRDefault="00827F95">
      <w:pPr>
        <w:rPr>
          <w:lang w:eastAsia="ja-JP"/>
        </w:rPr>
      </w:pPr>
    </w:p>
    <w:p w14:paraId="119E1ED5" w14:textId="77777777" w:rsidR="00827F95" w:rsidRDefault="00FF4C1E">
      <w:pPr>
        <w:pStyle w:val="1"/>
        <w:rPr>
          <w:lang w:eastAsia="ja-JP"/>
        </w:rPr>
      </w:pPr>
      <w:r>
        <w:rPr>
          <w:lang w:eastAsia="ja-JP"/>
        </w:rPr>
        <w:t xml:space="preserve">15. </w:t>
      </w:r>
      <w:r>
        <w:rPr>
          <w:lang w:eastAsia="ja-JP"/>
        </w:rPr>
        <w:t>サンプル適用の考え方</w:t>
      </w:r>
    </w:p>
    <w:p w14:paraId="7A118740" w14:textId="77777777" w:rsidR="00827F95" w:rsidRDefault="00FF4C1E">
      <w:pPr>
        <w:rPr>
          <w:lang w:eastAsia="ja-JP"/>
        </w:rPr>
      </w:pPr>
      <w:r>
        <w:rPr>
          <w:lang w:eastAsia="ja-JP"/>
        </w:rPr>
        <w:t>本プロジェクトでは、</w:t>
      </w:r>
      <w:r>
        <w:rPr>
          <w:lang w:eastAsia="ja-JP"/>
        </w:rPr>
        <w:t>CRA</w:t>
      </w:r>
      <w:r>
        <w:rPr>
          <w:lang w:eastAsia="ja-JP"/>
        </w:rPr>
        <w:t>対応をサンプルとして用い、条文から導かれる要求、実務上の対応、担当主体、発生タイミング、証跡を整理している。これにより、抽象的なフレームワークを実際の要求事項に当てはめた場合に、どのような情報が必要になるかを確認できる。</w:t>
      </w:r>
    </w:p>
    <w:p w14:paraId="0D7E9318" w14:textId="77777777" w:rsidR="00827F95" w:rsidRDefault="00FF4C1E">
      <w:pPr>
        <w:rPr>
          <w:lang w:eastAsia="ja-JP"/>
        </w:rPr>
      </w:pPr>
      <w:r>
        <w:rPr>
          <w:lang w:eastAsia="ja-JP"/>
        </w:rPr>
        <w:t>長文の条文については、</w:t>
      </w:r>
      <w:r>
        <w:rPr>
          <w:lang w:eastAsia="ja-JP"/>
        </w:rPr>
        <w:t>PPTX</w:t>
      </w:r>
      <w:r>
        <w:rPr>
          <w:lang w:eastAsia="ja-JP"/>
        </w:rPr>
        <w:t>上では全文を無理に収めるのではなく、主要部分の抜粋、抄訳・要約、参照先を示す形とする。本成果物を使用する際にはかならず原文を参照する運用とし、スライド上の日本語は実務確認のための確認用訳・要約として扱う。</w:t>
      </w:r>
    </w:p>
    <w:p w14:paraId="4BDDC879" w14:textId="77777777" w:rsidR="00827F95" w:rsidRDefault="00FF4C1E">
      <w:pPr>
        <w:pStyle w:val="1"/>
        <w:rPr>
          <w:lang w:eastAsia="ja-JP"/>
        </w:rPr>
      </w:pPr>
      <w:r>
        <w:rPr>
          <w:lang w:eastAsia="ja-JP"/>
        </w:rPr>
        <w:t xml:space="preserve">16. </w:t>
      </w:r>
      <w:r>
        <w:rPr>
          <w:lang w:eastAsia="ja-JP"/>
        </w:rPr>
        <w:t>留意事項・限界</w:t>
      </w:r>
    </w:p>
    <w:p w14:paraId="1660B21C" w14:textId="77777777" w:rsidR="00827F95" w:rsidRDefault="00FF4C1E">
      <w:pPr>
        <w:rPr>
          <w:lang w:eastAsia="ja-JP"/>
        </w:rPr>
      </w:pPr>
      <w:r>
        <w:rPr>
          <w:lang w:eastAsia="ja-JP"/>
        </w:rPr>
        <w:t>本プロジェクトの成果物は、セキュリティ対応に伴う投資・費用を整理するための検討用資料である。特定法令への適合性、会計処理、契約上の責任分担、価格転嫁の可否を確定するものではない。</w:t>
      </w:r>
    </w:p>
    <w:p w14:paraId="169DA215" w14:textId="77777777" w:rsidR="00827F95" w:rsidRDefault="00FF4C1E">
      <w:pPr>
        <w:pStyle w:val="a0"/>
        <w:rPr>
          <w:lang w:eastAsia="ja-JP"/>
        </w:rPr>
      </w:pPr>
      <w:r>
        <w:rPr>
          <w:lang w:eastAsia="ja-JP"/>
        </w:rPr>
        <w:t>CRA</w:t>
      </w:r>
      <w:r>
        <w:rPr>
          <w:lang w:eastAsia="ja-JP"/>
        </w:rPr>
        <w:t>の日本語訳は確認用であり、公的訳ではない。</w:t>
      </w:r>
    </w:p>
    <w:p w14:paraId="385FC52A" w14:textId="77777777" w:rsidR="00827F95" w:rsidRDefault="00FF4C1E">
      <w:pPr>
        <w:pStyle w:val="a0"/>
        <w:rPr>
          <w:lang w:eastAsia="ja-JP"/>
        </w:rPr>
      </w:pPr>
      <w:r>
        <w:rPr>
          <w:lang w:eastAsia="ja-JP"/>
        </w:rPr>
        <w:lastRenderedPageBreak/>
        <w:t>法的判断が必要な場合は、必ず原文、公式資料、専門家判断を確認する必要がある。</w:t>
      </w:r>
    </w:p>
    <w:p w14:paraId="4D1BA550" w14:textId="77777777" w:rsidR="00827F95" w:rsidRDefault="00FF4C1E">
      <w:pPr>
        <w:pStyle w:val="a0"/>
        <w:rPr>
          <w:lang w:eastAsia="ja-JP"/>
        </w:rPr>
      </w:pPr>
      <w:r>
        <w:rPr>
          <w:lang w:eastAsia="ja-JP"/>
        </w:rPr>
        <w:t>コスト区分や発生タイミングは、組織の会計方針や業務プロセスにより変わる。</w:t>
      </w:r>
    </w:p>
    <w:p w14:paraId="38A1CBB9" w14:textId="77777777" w:rsidR="00827F95" w:rsidRDefault="00FF4C1E">
      <w:pPr>
        <w:pStyle w:val="a0"/>
        <w:rPr>
          <w:lang w:eastAsia="ja-JP"/>
        </w:rPr>
      </w:pPr>
      <w:r>
        <w:rPr>
          <w:lang w:eastAsia="ja-JP"/>
        </w:rPr>
        <w:t>本モデルは、全ての製品・サービスにそのまま適用できるものではなく、利用組織ごとの調整が必要である。</w:t>
      </w:r>
    </w:p>
    <w:p w14:paraId="321153FF" w14:textId="77777777" w:rsidR="00827F95" w:rsidRDefault="00FF4C1E">
      <w:pPr>
        <w:pStyle w:val="a0"/>
        <w:rPr>
          <w:lang w:eastAsia="ja-JP"/>
        </w:rPr>
      </w:pPr>
      <w:r>
        <w:rPr>
          <w:lang w:eastAsia="ja-JP"/>
        </w:rPr>
        <w:t>サンプル入力は、利用方法を示すための例であり、実際の対応完了を意味するものではない。</w:t>
      </w:r>
    </w:p>
    <w:p w14:paraId="5DD024AB" w14:textId="77777777" w:rsidR="00827F95" w:rsidRDefault="00FF4C1E">
      <w:pPr>
        <w:pStyle w:val="1"/>
        <w:rPr>
          <w:lang w:eastAsia="ja-JP"/>
        </w:rPr>
      </w:pPr>
      <w:r>
        <w:rPr>
          <w:lang w:eastAsia="ja-JP"/>
        </w:rPr>
        <w:t xml:space="preserve">17. </w:t>
      </w:r>
      <w:r>
        <w:rPr>
          <w:lang w:eastAsia="ja-JP"/>
        </w:rPr>
        <w:t>今後の課題</w:t>
      </w:r>
    </w:p>
    <w:p w14:paraId="151B9575" w14:textId="77777777" w:rsidR="00827F95" w:rsidRDefault="00FF4C1E">
      <w:pPr>
        <w:rPr>
          <w:lang w:eastAsia="ja-JP"/>
        </w:rPr>
      </w:pPr>
      <w:r>
        <w:rPr>
          <w:lang w:eastAsia="ja-JP"/>
        </w:rPr>
        <w:t>今後は、フレームワークの入力例を増やし、実際の組織で利用する場合の担当主体、費用区分、発生フェイズ、証跡管理方法をさらに具体化する必要がある。また、複数部門で利用する場合のレビュー手順、更新履歴管理、分析指標の設計も課題となる。</w:t>
      </w:r>
    </w:p>
    <w:p w14:paraId="5E415B1B" w14:textId="77777777" w:rsidR="00827F95" w:rsidRDefault="00FF4C1E">
      <w:pPr>
        <w:pStyle w:val="a0"/>
        <w:rPr>
          <w:lang w:eastAsia="ja-JP"/>
        </w:rPr>
      </w:pPr>
      <w:r>
        <w:rPr>
          <w:lang w:eastAsia="ja-JP"/>
        </w:rPr>
        <w:t>入力例を追加し、実務者が記入しやすい粒度を検証する。</w:t>
      </w:r>
    </w:p>
    <w:p w14:paraId="0C50FE18" w14:textId="77777777" w:rsidR="00827F95" w:rsidRDefault="00FF4C1E">
      <w:pPr>
        <w:pStyle w:val="a0"/>
        <w:rPr>
          <w:lang w:eastAsia="ja-JP"/>
        </w:rPr>
      </w:pPr>
      <w:r>
        <w:rPr>
          <w:lang w:eastAsia="ja-JP"/>
        </w:rPr>
        <w:t>発生フェイズと担当主体の分類を、組織ごとの業務プロセスに合わせて調整する。</w:t>
      </w:r>
    </w:p>
    <w:p w14:paraId="1A3085AF" w14:textId="77777777" w:rsidR="00827F95" w:rsidRDefault="00FF4C1E">
      <w:pPr>
        <w:pStyle w:val="a0"/>
        <w:rPr>
          <w:lang w:eastAsia="ja-JP"/>
        </w:rPr>
      </w:pPr>
      <w:r>
        <w:rPr>
          <w:lang w:eastAsia="ja-JP"/>
        </w:rPr>
        <w:t>費用区分、負担主体、回収可能性を分析するための集計項目を整理する。</w:t>
      </w:r>
    </w:p>
    <w:p w14:paraId="52854F6F" w14:textId="77777777" w:rsidR="00827F95" w:rsidRDefault="00FF4C1E">
      <w:pPr>
        <w:pStyle w:val="a0"/>
        <w:rPr>
          <w:lang w:eastAsia="ja-JP"/>
        </w:rPr>
      </w:pPr>
      <w:r>
        <w:rPr>
          <w:lang w:eastAsia="ja-JP"/>
        </w:rPr>
        <w:t>CRA</w:t>
      </w:r>
      <w:r>
        <w:rPr>
          <w:lang w:eastAsia="ja-JP"/>
        </w:rPr>
        <w:t>以外の規格、契約、社内基準にも適用できるかを検証する。</w:t>
      </w:r>
    </w:p>
    <w:p w14:paraId="5F452C64" w14:textId="77777777" w:rsidR="00827F95" w:rsidRDefault="00FF4C1E">
      <w:pPr>
        <w:pStyle w:val="a0"/>
        <w:rPr>
          <w:lang w:eastAsia="ja-JP"/>
        </w:rPr>
      </w:pPr>
      <w:r>
        <w:rPr>
          <w:lang w:eastAsia="ja-JP"/>
        </w:rPr>
        <w:t>成果物の更新手順、版管理、レビュー手順を文書化する。</w:t>
      </w:r>
    </w:p>
    <w:p w14:paraId="7BC4D4B6" w14:textId="77777777" w:rsidR="00827F95" w:rsidRDefault="00FF4C1E">
      <w:pPr>
        <w:pStyle w:val="a0"/>
        <w:rPr>
          <w:lang w:eastAsia="ja-JP"/>
        </w:rPr>
      </w:pPr>
      <w:r>
        <w:rPr>
          <w:lang w:eastAsia="ja-JP"/>
        </w:rPr>
        <w:t>他の規制・規格（</w:t>
      </w:r>
      <w:r>
        <w:rPr>
          <w:lang w:eastAsia="ja-JP"/>
        </w:rPr>
        <w:t>IEC 62443</w:t>
      </w:r>
      <w:r>
        <w:rPr>
          <w:lang w:eastAsia="ja-JP"/>
        </w:rPr>
        <w:t>、</w:t>
      </w:r>
      <w:r>
        <w:rPr>
          <w:lang w:eastAsia="ja-JP"/>
        </w:rPr>
        <w:t>ISO/IEC 27001</w:t>
      </w:r>
      <w:r>
        <w:rPr>
          <w:lang w:eastAsia="ja-JP"/>
        </w:rPr>
        <w:t>、</w:t>
      </w:r>
      <w:r>
        <w:rPr>
          <w:lang w:eastAsia="ja-JP"/>
        </w:rPr>
        <w:t>NIS2</w:t>
      </w:r>
      <w:r>
        <w:rPr>
          <w:lang w:eastAsia="ja-JP"/>
        </w:rPr>
        <w:t>等）への適用可能性を検証し、フレームワークの汎用性を高める。</w:t>
      </w:r>
    </w:p>
    <w:p w14:paraId="492148E5" w14:textId="77777777" w:rsidR="00827F95" w:rsidRDefault="00FF4C1E">
      <w:pPr>
        <w:pStyle w:val="a0"/>
        <w:rPr>
          <w:lang w:eastAsia="ja-JP"/>
        </w:rPr>
      </w:pPr>
      <w:r>
        <w:rPr>
          <w:lang w:eastAsia="ja-JP"/>
        </w:rPr>
        <w:t>コスト回収モデル（</w:t>
      </w:r>
      <w:r>
        <w:rPr>
          <w:lang w:eastAsia="ja-JP"/>
        </w:rPr>
        <w:t>P0/P1/P2</w:t>
      </w:r>
      <w:r>
        <w:rPr>
          <w:lang w:eastAsia="ja-JP"/>
        </w:rPr>
        <w:t>）の実務適用事例を蓄積し、製品タイプ別の典型パターンを整理する。</w:t>
      </w:r>
    </w:p>
    <w:p w14:paraId="1CF65FEC" w14:textId="77777777" w:rsidR="00827F95" w:rsidRDefault="00FF4C1E">
      <w:pPr>
        <w:pStyle w:val="a0"/>
        <w:rPr>
          <w:lang w:eastAsia="ja-JP"/>
        </w:rPr>
      </w:pPr>
      <w:r>
        <w:rPr>
          <w:lang w:eastAsia="ja-JP"/>
        </w:rPr>
        <w:t>複数部門の同時利用を想定したワークフロー（担当割り当て、承認フロー、レビュー依頼）の設計を検討する。</w:t>
      </w:r>
    </w:p>
    <w:p w14:paraId="32CA9556" w14:textId="77777777" w:rsidR="00827F95" w:rsidRDefault="00FF4C1E">
      <w:pPr>
        <w:rPr>
          <w:lang w:eastAsia="ja-JP"/>
        </w:rPr>
      </w:pPr>
      <w:r>
        <w:rPr>
          <w:lang w:eastAsia="ja-JP"/>
        </w:rPr>
        <w:t>これらの課題に取り組むことで、本フレームワークは個別の</w:t>
      </w:r>
      <w:r>
        <w:rPr>
          <w:lang w:eastAsia="ja-JP"/>
        </w:rPr>
        <w:t>CRA</w:t>
      </w:r>
      <w:r>
        <w:rPr>
          <w:lang w:eastAsia="ja-JP"/>
        </w:rPr>
        <w:t>対応ツールから、より広範なセキュリティ投資管理の基盤へと発展させることができる。将来的には、組織横断的な対応状況の集計・可視化や、投資対効果の定量分析にも応用できる可能性がある。</w:t>
      </w:r>
    </w:p>
    <w:p w14:paraId="7784BCE5" w14:textId="31BA0280" w:rsidR="004441D3" w:rsidRDefault="004441D3" w:rsidP="004441D3">
      <w:pPr>
        <w:pStyle w:val="1"/>
        <w:rPr>
          <w:lang w:eastAsia="ja-JP"/>
        </w:rPr>
      </w:pPr>
      <w:r>
        <w:rPr>
          <w:rFonts w:hint="eastAsia"/>
          <w:lang w:eastAsia="ja-JP"/>
        </w:rPr>
        <w:t>18</w:t>
      </w:r>
      <w:r>
        <w:rPr>
          <w:lang w:eastAsia="ja-JP"/>
        </w:rPr>
        <w:t xml:space="preserve">. </w:t>
      </w:r>
      <w:r>
        <w:rPr>
          <w:rFonts w:hint="eastAsia"/>
          <w:lang w:eastAsia="ja-JP"/>
        </w:rPr>
        <w:t>参考文献</w:t>
      </w:r>
    </w:p>
    <w:p w14:paraId="28008E4D" w14:textId="77777777" w:rsidR="00E877B1" w:rsidRDefault="004441D3" w:rsidP="004441D3">
      <w:pPr>
        <w:rPr>
          <w:lang w:eastAsia="ja-JP"/>
        </w:rPr>
      </w:pPr>
      <w:r w:rsidRPr="004441D3">
        <w:rPr>
          <w:lang w:eastAsia="ja-JP"/>
        </w:rPr>
        <w:t xml:space="preserve">EU, </w:t>
      </w:r>
      <w:r w:rsidRPr="004441D3">
        <w:rPr>
          <w:i/>
          <w:iCs/>
          <w:lang w:eastAsia="ja-JP"/>
        </w:rPr>
        <w:t>Cyber Resilience Act (Regulation (EU) 2024/2847)</w:t>
      </w:r>
      <w:r w:rsidRPr="004441D3">
        <w:rPr>
          <w:lang w:eastAsia="ja-JP"/>
        </w:rPr>
        <w:t>, 2024, EUR-Lex.</w:t>
      </w:r>
    </w:p>
    <w:p w14:paraId="621D5327" w14:textId="385FDE8A" w:rsidR="00827F95" w:rsidRPr="004441D3" w:rsidRDefault="004441D3" w:rsidP="004441D3">
      <w:pPr>
        <w:rPr>
          <w:lang w:eastAsia="ja-JP"/>
        </w:rPr>
      </w:pPr>
      <w:r w:rsidRPr="004441D3">
        <w:rPr>
          <w:lang w:eastAsia="ja-JP"/>
        </w:rPr>
        <w:t xml:space="preserve"> </w:t>
      </w:r>
      <w:hyperlink r:id="rId7" w:history="1">
        <w:r w:rsidR="00E877B1" w:rsidRPr="004F74B5">
          <w:rPr>
            <w:rStyle w:val="aff2"/>
            <w:lang w:eastAsia="ja-JP"/>
          </w:rPr>
          <w:t>https://eur-lex.europa.eu/legal-content/EN/TXT/?uri=CELEX%3A32024R2847</w:t>
        </w:r>
      </w:hyperlink>
      <w:r w:rsidR="00E877B1">
        <w:rPr>
          <w:rFonts w:hint="eastAsia"/>
          <w:lang w:eastAsia="ja-JP"/>
        </w:rPr>
        <w:t xml:space="preserve">　</w:t>
      </w:r>
    </w:p>
    <w:sectPr w:rsidR="00827F95" w:rsidRPr="004441D3">
      <w:footerReference w:type="default" r:id="rId8"/>
      <w:footerReference w:type="first" r:id="rId9"/>
      <w:pgSz w:w="12240" w:h="15840"/>
      <w:pgMar w:top="1440" w:right="1440" w:bottom="1440" w:left="1440"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061D0" w14:textId="77777777" w:rsidR="007D02CE" w:rsidRDefault="007D02CE">
      <w:pPr>
        <w:spacing w:after="0" w:line="240" w:lineRule="auto"/>
      </w:pPr>
      <w:r>
        <w:separator/>
      </w:r>
    </w:p>
  </w:endnote>
  <w:endnote w:type="continuationSeparator" w:id="0">
    <w:p w14:paraId="2C19F5A9" w14:textId="77777777" w:rsidR="007D02CE" w:rsidRDefault="007D0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游ゴシック">
    <w:altName w:val="Yu Gothic"/>
    <w:panose1 w:val="020B04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w:altName w:val="ＭＳ 明朝"/>
    <w:panose1 w:val="02070409020205020404"/>
    <w:charset w:val="80"/>
    <w:family w:val="roman"/>
    <w:pitch w:val="variable"/>
  </w:font>
  <w:font w:name="Liberation Sans">
    <w:altName w:val="Calibri"/>
    <w:charset w:val="80"/>
    <w:family w:val="swiss"/>
    <w:pitch w:val="variable"/>
  </w:font>
  <w:font w:name="Noto Sans JP">
    <w:panose1 w:val="020B0200000000000000"/>
    <w:charset w:val="80"/>
    <w:family w:val="modern"/>
    <w:pitch w:val="variable"/>
    <w:sig w:usb0="20000287" w:usb1="2ADF3C10" w:usb2="00000016" w:usb3="00000000" w:csb0="00060107"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anrope;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86C2" w14:textId="77777777" w:rsidR="00827F95" w:rsidRDefault="00FF4C1E">
    <w:pPr>
      <w:jc w:val="right"/>
      <w:rPr>
        <w:lang w:eastAsia="ja-JP"/>
      </w:rPr>
    </w:pPr>
    <w:r>
      <w:rPr>
        <w:lang w:eastAsia="ja-JP"/>
      </w:rPr>
      <w:t>セキュリティ投資・コスト回収モデル</w:t>
    </w:r>
    <w:r>
      <w:rPr>
        <w:lang w:eastAsia="ja-JP"/>
      </w:rPr>
      <w:t xml:space="preserve"> </w:t>
    </w:r>
    <w:r>
      <w:rPr>
        <w:lang w:eastAsia="ja-JP"/>
      </w:rPr>
      <w:t>説明書</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C6CCA" w14:textId="77777777" w:rsidR="00827F95" w:rsidRDefault="00FF4C1E">
    <w:pPr>
      <w:jc w:val="right"/>
      <w:rPr>
        <w:lang w:eastAsia="ja-JP"/>
      </w:rPr>
    </w:pPr>
    <w:r>
      <w:rPr>
        <w:lang w:eastAsia="ja-JP"/>
      </w:rPr>
      <w:t>セキュリティ投資・コスト回収モデル</w:t>
    </w:r>
    <w:r>
      <w:rPr>
        <w:lang w:eastAsia="ja-JP"/>
      </w:rPr>
      <w:t xml:space="preserve"> </w:t>
    </w:r>
    <w:r>
      <w:rPr>
        <w:lang w:eastAsia="ja-JP"/>
      </w:rPr>
      <w:t>説明書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651FF" w14:textId="77777777" w:rsidR="007D02CE" w:rsidRDefault="007D02CE">
      <w:pPr>
        <w:spacing w:after="0" w:line="240" w:lineRule="auto"/>
      </w:pPr>
      <w:r>
        <w:separator/>
      </w:r>
    </w:p>
  </w:footnote>
  <w:footnote w:type="continuationSeparator" w:id="0">
    <w:p w14:paraId="07E0C16D" w14:textId="77777777" w:rsidR="007D02CE" w:rsidRDefault="007D0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2C2D"/>
    <w:multiLevelType w:val="multilevel"/>
    <w:tmpl w:val="EA1CB5FA"/>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B3668F"/>
    <w:multiLevelType w:val="multilevel"/>
    <w:tmpl w:val="72BADD12"/>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B2D5E13"/>
    <w:multiLevelType w:val="multilevel"/>
    <w:tmpl w:val="95E2A190"/>
    <w:lvl w:ilvl="0">
      <w:start w:val="1"/>
      <w:numFmt w:val="bullet"/>
      <w:pStyle w:val="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F350F72"/>
    <w:multiLevelType w:val="multilevel"/>
    <w:tmpl w:val="28129C3E"/>
    <w:lvl w:ilvl="0">
      <w:start w:val="1"/>
      <w:numFmt w:val="bullet"/>
      <w:pStyle w:val="a0"/>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C937802"/>
    <w:multiLevelType w:val="multilevel"/>
    <w:tmpl w:val="4C608B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D476720"/>
    <w:multiLevelType w:val="multilevel"/>
    <w:tmpl w:val="F5602002"/>
    <w:lvl w:ilvl="0">
      <w:start w:val="1"/>
      <w:numFmt w:val="decimal"/>
      <w:pStyle w:val="30"/>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2EA41F9"/>
    <w:multiLevelType w:val="multilevel"/>
    <w:tmpl w:val="527CCEC2"/>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85949370">
    <w:abstractNumId w:val="3"/>
  </w:num>
  <w:num w:numId="2" w16cid:durableId="226767751">
    <w:abstractNumId w:val="0"/>
  </w:num>
  <w:num w:numId="3" w16cid:durableId="2033531854">
    <w:abstractNumId w:val="2"/>
  </w:num>
  <w:num w:numId="4" w16cid:durableId="233317443">
    <w:abstractNumId w:val="1"/>
  </w:num>
  <w:num w:numId="5" w16cid:durableId="643974059">
    <w:abstractNumId w:val="6"/>
  </w:num>
  <w:num w:numId="6" w16cid:durableId="744186145">
    <w:abstractNumId w:val="5"/>
  </w:num>
  <w:num w:numId="7" w16cid:durableId="15944369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ocumentProtection w:edit="readOnly" w:formatting="1" w:enforcement="0"/>
  <w:defaultTabStop w:val="720"/>
  <w:autoHyphenation/>
  <w:hyphenationZone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827F95"/>
    <w:rsid w:val="000963AF"/>
    <w:rsid w:val="000B58E8"/>
    <w:rsid w:val="00113857"/>
    <w:rsid w:val="00207790"/>
    <w:rsid w:val="00226B50"/>
    <w:rsid w:val="002D0F07"/>
    <w:rsid w:val="003048F1"/>
    <w:rsid w:val="00334D30"/>
    <w:rsid w:val="00350234"/>
    <w:rsid w:val="003A3EF6"/>
    <w:rsid w:val="003D5B83"/>
    <w:rsid w:val="004441D3"/>
    <w:rsid w:val="00494F4D"/>
    <w:rsid w:val="005C36A2"/>
    <w:rsid w:val="00760EE3"/>
    <w:rsid w:val="00771D26"/>
    <w:rsid w:val="007D02CE"/>
    <w:rsid w:val="00827F95"/>
    <w:rsid w:val="008C0355"/>
    <w:rsid w:val="00B20E74"/>
    <w:rsid w:val="00D02985"/>
    <w:rsid w:val="00D526EE"/>
    <w:rsid w:val="00DF714F"/>
    <w:rsid w:val="00E45D64"/>
    <w:rsid w:val="00E877B1"/>
    <w:rsid w:val="00E9765C"/>
    <w:rsid w:val="00FF4C1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F56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ＭＳ 明朝" w:hAnsi="Cambria"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overflowPunct w:val="0"/>
      <w:spacing w:after="120" w:line="264" w:lineRule="auto"/>
    </w:pPr>
    <w:rPr>
      <w:rFonts w:ascii="Calibri" w:eastAsia="游ゴシック" w:hAnsi="Calibri"/>
    </w:rPr>
  </w:style>
  <w:style w:type="paragraph" w:styleId="1">
    <w:name w:val="heading 1"/>
    <w:basedOn w:val="a1"/>
    <w:next w:val="a1"/>
    <w:link w:val="10"/>
    <w:uiPriority w:val="9"/>
    <w:qFormat/>
    <w:pPr>
      <w:keepNext/>
      <w:keepLines/>
      <w:spacing w:before="320" w:after="160"/>
      <w:outlineLvl w:val="0"/>
    </w:pPr>
    <w:rPr>
      <w:rFonts w:eastAsia="ＭＳ ゴシック"/>
      <w:b/>
      <w:bCs/>
      <w:color w:val="2E74B5"/>
      <w:sz w:val="32"/>
      <w:szCs w:val="28"/>
    </w:rPr>
  </w:style>
  <w:style w:type="paragraph" w:styleId="21">
    <w:name w:val="heading 2"/>
    <w:basedOn w:val="a1"/>
    <w:next w:val="a1"/>
    <w:link w:val="22"/>
    <w:uiPriority w:val="9"/>
    <w:semiHidden/>
    <w:unhideWhenUsed/>
    <w:qFormat/>
    <w:pPr>
      <w:keepNext/>
      <w:keepLines/>
      <w:spacing w:before="240"/>
      <w:outlineLvl w:val="1"/>
    </w:pPr>
    <w:rPr>
      <w:rFonts w:eastAsia="ＭＳ ゴシック"/>
      <w:b/>
      <w:bCs/>
      <w:color w:val="2E74B5"/>
      <w:sz w:val="26"/>
      <w:szCs w:val="26"/>
    </w:rPr>
  </w:style>
  <w:style w:type="paragraph" w:styleId="31">
    <w:name w:val="heading 3"/>
    <w:basedOn w:val="a1"/>
    <w:next w:val="a1"/>
    <w:link w:val="32"/>
    <w:uiPriority w:val="9"/>
    <w:semiHidden/>
    <w:unhideWhenUsed/>
    <w:qFormat/>
    <w:pPr>
      <w:keepNext/>
      <w:keepLines/>
      <w:spacing w:before="160" w:after="80"/>
      <w:outlineLvl w:val="2"/>
    </w:pPr>
    <w:rPr>
      <w:rFonts w:eastAsia="ＭＳ ゴシック"/>
      <w:b/>
      <w:bCs/>
      <w:color w:val="1F4D78"/>
      <w:sz w:val="24"/>
    </w:rPr>
  </w:style>
  <w:style w:type="paragraph" w:styleId="4">
    <w:name w:val="heading 4"/>
    <w:basedOn w:val="a1"/>
    <w:next w:val="a1"/>
    <w:link w:val="40"/>
    <w:uiPriority w:val="9"/>
    <w:semiHidden/>
    <w:unhideWhenUsed/>
    <w:qFormat/>
    <w:pPr>
      <w:keepNext/>
      <w:keepLines/>
      <w:spacing w:before="200" w:after="0"/>
      <w:outlineLvl w:val="3"/>
    </w:pPr>
    <w:rPr>
      <w:rFonts w:eastAsia="ＭＳ ゴシック"/>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eastAsia="ＭＳ ゴシック"/>
      <w:color w:val="243F60" w:themeColor="accent1" w:themeShade="7F"/>
    </w:rPr>
  </w:style>
  <w:style w:type="paragraph" w:styleId="6">
    <w:name w:val="heading 6"/>
    <w:basedOn w:val="a1"/>
    <w:next w:val="a1"/>
    <w:link w:val="60"/>
    <w:uiPriority w:val="9"/>
    <w:semiHidden/>
    <w:unhideWhenUsed/>
    <w:qFormat/>
    <w:pPr>
      <w:keepNext/>
      <w:keepLines/>
      <w:spacing w:before="200" w:after="0"/>
      <w:outlineLvl w:val="5"/>
    </w:pPr>
    <w:rPr>
      <w:rFonts w:eastAsia="ＭＳ ゴシック"/>
      <w:i/>
      <w:iCs/>
      <w:color w:val="243F60" w:themeColor="accent1" w:themeShade="7F"/>
    </w:rPr>
  </w:style>
  <w:style w:type="paragraph" w:styleId="7">
    <w:name w:val="heading 7"/>
    <w:basedOn w:val="a1"/>
    <w:next w:val="a1"/>
    <w:link w:val="70"/>
    <w:qFormat/>
    <w:pPr>
      <w:keepNext/>
      <w:keepLines/>
      <w:spacing w:before="200" w:after="0"/>
      <w:outlineLvl w:val="6"/>
    </w:pPr>
    <w:rPr>
      <w:rFonts w:eastAsia="ＭＳ ゴシック"/>
      <w:i/>
      <w:iCs/>
      <w:color w:val="404040" w:themeColor="dark1" w:themeTint="BF"/>
    </w:rPr>
  </w:style>
  <w:style w:type="paragraph" w:styleId="8">
    <w:name w:val="heading 8"/>
    <w:basedOn w:val="a1"/>
    <w:next w:val="a1"/>
    <w:link w:val="80"/>
    <w:qFormat/>
    <w:pPr>
      <w:keepNext/>
      <w:keepLines/>
      <w:spacing w:before="200" w:after="0"/>
      <w:outlineLvl w:val="7"/>
    </w:pPr>
    <w:rPr>
      <w:rFonts w:eastAsia="ＭＳ ゴシック"/>
      <w:color w:val="4F81BD" w:themeColor="accent1"/>
      <w:sz w:val="20"/>
      <w:szCs w:val="20"/>
    </w:rPr>
  </w:style>
  <w:style w:type="paragraph" w:styleId="9">
    <w:name w:val="heading 9"/>
    <w:basedOn w:val="a1"/>
    <w:next w:val="a1"/>
    <w:link w:val="90"/>
    <w:qFormat/>
    <w:pPr>
      <w:keepNext/>
      <w:keepLines/>
      <w:spacing w:before="200" w:after="0"/>
      <w:outlineLvl w:val="8"/>
    </w:pPr>
    <w:rPr>
      <w:rFonts w:eastAsia="ＭＳ ゴシック"/>
      <w:i/>
      <w:iCs/>
      <w:color w:val="404040" w:themeColor="dark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ヘッダー (文字)"/>
    <w:basedOn w:val="a2"/>
    <w:link w:val="a6"/>
    <w:qFormat/>
  </w:style>
  <w:style w:type="character" w:customStyle="1" w:styleId="a7">
    <w:name w:val="フッター (文字)"/>
    <w:basedOn w:val="a2"/>
    <w:link w:val="a8"/>
    <w:qFormat/>
  </w:style>
  <w:style w:type="character" w:customStyle="1" w:styleId="10">
    <w:name w:val="見出し 1 (文字)"/>
    <w:basedOn w:val="a2"/>
    <w:link w:val="1"/>
    <w:qFormat/>
    <w:rPr>
      <w:rFonts w:ascii="Calibri" w:eastAsia="ＭＳ ゴシック" w:hAnsi="Calibri" w:cs="Tahoma"/>
      <w:b/>
      <w:bCs/>
      <w:color w:val="365F91" w:themeColor="accent1" w:themeShade="BF"/>
      <w:sz w:val="28"/>
      <w:szCs w:val="28"/>
    </w:rPr>
  </w:style>
  <w:style w:type="character" w:customStyle="1" w:styleId="22">
    <w:name w:val="見出し 2 (文字)"/>
    <w:basedOn w:val="a2"/>
    <w:link w:val="21"/>
    <w:qFormat/>
    <w:rPr>
      <w:rFonts w:ascii="Calibri" w:eastAsia="ＭＳ ゴシック" w:hAnsi="Calibri" w:cs="Tahoma"/>
      <w:b/>
      <w:bCs/>
      <w:color w:val="4F81BD" w:themeColor="accent1"/>
      <w:sz w:val="26"/>
      <w:szCs w:val="26"/>
    </w:rPr>
  </w:style>
  <w:style w:type="character" w:customStyle="1" w:styleId="32">
    <w:name w:val="見出し 3 (文字)"/>
    <w:basedOn w:val="a2"/>
    <w:link w:val="31"/>
    <w:qFormat/>
    <w:rPr>
      <w:rFonts w:ascii="Calibri" w:eastAsia="ＭＳ ゴシック" w:hAnsi="Calibri" w:cs="Tahoma"/>
      <w:b/>
      <w:bCs/>
      <w:color w:val="4F81BD" w:themeColor="accent1"/>
    </w:rPr>
  </w:style>
  <w:style w:type="character" w:customStyle="1" w:styleId="a9">
    <w:name w:val="表題 (文字)"/>
    <w:basedOn w:val="a2"/>
    <w:link w:val="aa"/>
    <w:qFormat/>
    <w:rPr>
      <w:rFonts w:ascii="Calibri" w:eastAsia="ＭＳ ゴシック" w:hAnsi="Calibri" w:cs="Tahoma"/>
      <w:color w:val="17365D" w:themeColor="dark2" w:themeShade="BF"/>
      <w:spacing w:val="5"/>
      <w:kern w:val="2"/>
      <w:sz w:val="52"/>
      <w:szCs w:val="52"/>
    </w:rPr>
  </w:style>
  <w:style w:type="character" w:customStyle="1" w:styleId="ab">
    <w:name w:val="副題 (文字)"/>
    <w:basedOn w:val="a2"/>
    <w:link w:val="ac"/>
    <w:qFormat/>
    <w:rPr>
      <w:rFonts w:ascii="Calibri" w:eastAsia="ＭＳ ゴシック" w:hAnsi="Calibri" w:cs="Tahoma"/>
      <w:i/>
      <w:iCs/>
      <w:color w:val="4F81BD" w:themeColor="accent1"/>
      <w:spacing w:val="15"/>
      <w:sz w:val="24"/>
      <w:szCs w:val="24"/>
    </w:rPr>
  </w:style>
  <w:style w:type="character" w:customStyle="1" w:styleId="ad">
    <w:name w:val="本文 (文字)"/>
    <w:basedOn w:val="a2"/>
    <w:link w:val="ae"/>
    <w:qFormat/>
  </w:style>
  <w:style w:type="character" w:customStyle="1" w:styleId="23">
    <w:name w:val="本文 2 (文字)"/>
    <w:basedOn w:val="a2"/>
    <w:link w:val="24"/>
    <w:qFormat/>
  </w:style>
  <w:style w:type="character" w:customStyle="1" w:styleId="33">
    <w:name w:val="本文 3 (文字)"/>
    <w:basedOn w:val="a2"/>
    <w:link w:val="34"/>
    <w:qFormat/>
    <w:rPr>
      <w:sz w:val="16"/>
      <w:szCs w:val="16"/>
    </w:rPr>
  </w:style>
  <w:style w:type="character" w:customStyle="1" w:styleId="af">
    <w:name w:val="マクロ文字列 (文字)"/>
    <w:basedOn w:val="a2"/>
    <w:link w:val="af0"/>
    <w:qFormat/>
    <w:rPr>
      <w:rFonts w:ascii="Courier" w:hAnsi="Courier"/>
      <w:sz w:val="20"/>
      <w:szCs w:val="20"/>
    </w:rPr>
  </w:style>
  <w:style w:type="character" w:customStyle="1" w:styleId="af1">
    <w:name w:val="引用文 (文字)"/>
    <w:basedOn w:val="a2"/>
    <w:link w:val="af2"/>
    <w:qFormat/>
    <w:rPr>
      <w:i/>
      <w:iCs/>
      <w:color w:val="000000" w:themeColor="dark1"/>
    </w:rPr>
  </w:style>
  <w:style w:type="character" w:customStyle="1" w:styleId="40">
    <w:name w:val="見出し 4 (文字)"/>
    <w:basedOn w:val="a2"/>
    <w:link w:val="4"/>
    <w:qFormat/>
    <w:rPr>
      <w:rFonts w:ascii="Calibri" w:eastAsia="ＭＳ ゴシック" w:hAnsi="Calibri" w:cs="Tahoma"/>
      <w:b/>
      <w:bCs/>
      <w:i/>
      <w:iCs/>
      <w:color w:val="4F81BD" w:themeColor="accent1"/>
    </w:rPr>
  </w:style>
  <w:style w:type="character" w:customStyle="1" w:styleId="50">
    <w:name w:val="見出し 5 (文字)"/>
    <w:basedOn w:val="a2"/>
    <w:link w:val="5"/>
    <w:qFormat/>
    <w:rPr>
      <w:rFonts w:ascii="Calibri" w:eastAsia="ＭＳ ゴシック" w:hAnsi="Calibri" w:cs="Tahoma"/>
      <w:color w:val="243F60" w:themeColor="accent1" w:themeShade="7F"/>
    </w:rPr>
  </w:style>
  <w:style w:type="character" w:customStyle="1" w:styleId="60">
    <w:name w:val="見出し 6 (文字)"/>
    <w:basedOn w:val="a2"/>
    <w:link w:val="6"/>
    <w:qFormat/>
    <w:rPr>
      <w:rFonts w:ascii="Calibri" w:eastAsia="ＭＳ ゴシック" w:hAnsi="Calibri" w:cs="Tahoma"/>
      <w:i/>
      <w:iCs/>
      <w:color w:val="243F60" w:themeColor="accent1" w:themeShade="7F"/>
    </w:rPr>
  </w:style>
  <w:style w:type="character" w:customStyle="1" w:styleId="70">
    <w:name w:val="見出し 7 (文字)"/>
    <w:basedOn w:val="a2"/>
    <w:link w:val="7"/>
    <w:qFormat/>
    <w:rPr>
      <w:rFonts w:ascii="Calibri" w:eastAsia="ＭＳ ゴシック" w:hAnsi="Calibri" w:cs="Tahoma"/>
      <w:i/>
      <w:iCs/>
      <w:color w:val="404040" w:themeColor="dark1" w:themeTint="BF"/>
    </w:rPr>
  </w:style>
  <w:style w:type="character" w:customStyle="1" w:styleId="80">
    <w:name w:val="見出し 8 (文字)"/>
    <w:basedOn w:val="a2"/>
    <w:link w:val="8"/>
    <w:qFormat/>
    <w:rPr>
      <w:rFonts w:ascii="Calibri" w:eastAsia="ＭＳ ゴシック" w:hAnsi="Calibri" w:cs="Tahoma"/>
      <w:color w:val="4F81BD" w:themeColor="accent1"/>
      <w:sz w:val="20"/>
      <w:szCs w:val="20"/>
    </w:rPr>
  </w:style>
  <w:style w:type="character" w:customStyle="1" w:styleId="90">
    <w:name w:val="見出し 9 (文字)"/>
    <w:basedOn w:val="a2"/>
    <w:link w:val="9"/>
    <w:qFormat/>
    <w:rPr>
      <w:rFonts w:ascii="Calibri" w:eastAsia="ＭＳ ゴシック" w:hAnsi="Calibri" w:cs="Tahoma"/>
      <w:i/>
      <w:iCs/>
      <w:color w:val="404040" w:themeColor="dark1" w:themeTint="BF"/>
      <w:sz w:val="20"/>
      <w:szCs w:val="20"/>
    </w:rPr>
  </w:style>
  <w:style w:type="character" w:styleId="af3">
    <w:name w:val="Strong"/>
    <w:basedOn w:val="a2"/>
    <w:qFormat/>
    <w:rPr>
      <w:b/>
      <w:bCs/>
    </w:rPr>
  </w:style>
  <w:style w:type="character" w:styleId="af4">
    <w:name w:val="Emphasis"/>
    <w:basedOn w:val="a2"/>
    <w:uiPriority w:val="20"/>
    <w:qFormat/>
    <w:rPr>
      <w:i/>
      <w:iCs/>
    </w:rPr>
  </w:style>
  <w:style w:type="character" w:customStyle="1" w:styleId="25">
    <w:name w:val="引用文 2 (文字)"/>
    <w:basedOn w:val="a2"/>
    <w:link w:val="26"/>
    <w:qFormat/>
    <w:rPr>
      <w:b/>
      <w:bCs/>
      <w:i/>
      <w:iCs/>
      <w:color w:val="4F81BD" w:themeColor="accent1"/>
    </w:rPr>
  </w:style>
  <w:style w:type="character" w:styleId="af5">
    <w:name w:val="Subtle Emphasis"/>
    <w:basedOn w:val="a2"/>
    <w:qFormat/>
    <w:rPr>
      <w:i/>
      <w:iCs/>
      <w:color w:val="808080" w:themeColor="dark1" w:themeTint="7F"/>
    </w:rPr>
  </w:style>
  <w:style w:type="character" w:styleId="27">
    <w:name w:val="Intense Emphasis"/>
    <w:basedOn w:val="a2"/>
    <w:qFormat/>
    <w:rPr>
      <w:b/>
      <w:bCs/>
      <w:i/>
      <w:iCs/>
      <w:color w:val="4F81BD" w:themeColor="accent1"/>
    </w:rPr>
  </w:style>
  <w:style w:type="character" w:styleId="af6">
    <w:name w:val="Subtle Reference"/>
    <w:basedOn w:val="a2"/>
    <w:qFormat/>
    <w:rPr>
      <w:smallCaps/>
      <w:color w:val="C0504D" w:themeColor="accent2"/>
      <w:u w:val="single"/>
    </w:rPr>
  </w:style>
  <w:style w:type="character" w:styleId="28">
    <w:name w:val="Intense Reference"/>
    <w:basedOn w:val="a2"/>
    <w:qFormat/>
    <w:rPr>
      <w:b/>
      <w:bCs/>
      <w:smallCaps/>
      <w:color w:val="C0504D" w:themeColor="accent2"/>
      <w:spacing w:val="5"/>
      <w:u w:val="single"/>
    </w:rPr>
  </w:style>
  <w:style w:type="character" w:styleId="af7">
    <w:name w:val="Book Title"/>
    <w:basedOn w:val="a2"/>
    <w:qFormat/>
    <w:rPr>
      <w:b/>
      <w:bCs/>
      <w:smallCaps/>
      <w:spacing w:val="5"/>
    </w:rPr>
  </w:style>
  <w:style w:type="paragraph" w:customStyle="1" w:styleId="af8">
    <w:name w:val="見出し"/>
    <w:basedOn w:val="a1"/>
    <w:next w:val="ae"/>
    <w:qFormat/>
    <w:pPr>
      <w:keepNext/>
      <w:spacing w:before="240"/>
    </w:pPr>
    <w:rPr>
      <w:rFonts w:ascii="Liberation Sans" w:eastAsia="Noto Sans JP" w:hAnsi="Liberation Sans" w:cs="Arial"/>
      <w:sz w:val="28"/>
      <w:szCs w:val="28"/>
    </w:rPr>
  </w:style>
  <w:style w:type="paragraph" w:styleId="ae">
    <w:name w:val="Body Text"/>
    <w:basedOn w:val="a1"/>
    <w:link w:val="ad"/>
  </w:style>
  <w:style w:type="paragraph" w:styleId="af9">
    <w:name w:val="List"/>
    <w:basedOn w:val="a1"/>
    <w:pPr>
      <w:ind w:left="360" w:hanging="360"/>
      <w:contextualSpacing/>
    </w:pPr>
  </w:style>
  <w:style w:type="paragraph" w:styleId="afa">
    <w:name w:val="caption"/>
    <w:basedOn w:val="a1"/>
    <w:next w:val="a1"/>
    <w:qFormat/>
    <w:pPr>
      <w:spacing w:line="240" w:lineRule="auto"/>
    </w:pPr>
    <w:rPr>
      <w:b/>
      <w:bCs/>
      <w:color w:val="4F81BD" w:themeColor="accent1"/>
      <w:sz w:val="18"/>
      <w:szCs w:val="18"/>
    </w:rPr>
  </w:style>
  <w:style w:type="paragraph" w:customStyle="1" w:styleId="afb">
    <w:name w:val="索引"/>
    <w:basedOn w:val="a1"/>
    <w:qFormat/>
    <w:pPr>
      <w:suppressLineNumbers/>
    </w:pPr>
    <w:rPr>
      <w:rFonts w:cs="Arial"/>
    </w:rPr>
  </w:style>
  <w:style w:type="paragraph" w:customStyle="1" w:styleId="user">
    <w:name w:val="見出し (user)"/>
    <w:basedOn w:val="a1"/>
    <w:next w:val="ae"/>
    <w:qFormat/>
    <w:pPr>
      <w:keepNext/>
      <w:spacing w:before="240"/>
    </w:pPr>
    <w:rPr>
      <w:rFonts w:ascii="Liberation Sans" w:eastAsia="Noto Sans JP" w:hAnsi="Liberation Sans" w:cs="Lucida Sans"/>
      <w:sz w:val="28"/>
      <w:szCs w:val="28"/>
    </w:rPr>
  </w:style>
  <w:style w:type="paragraph" w:customStyle="1" w:styleId="user0">
    <w:name w:val="索引 (user)"/>
    <w:basedOn w:val="a1"/>
    <w:qFormat/>
    <w:pPr>
      <w:suppressLineNumbers/>
    </w:pPr>
    <w:rPr>
      <w:rFonts w:cs="Lucida Sans"/>
    </w:rPr>
  </w:style>
  <w:style w:type="paragraph" w:customStyle="1" w:styleId="user1">
    <w:name w:val="ヘッダーとフッター (user)"/>
    <w:basedOn w:val="a1"/>
    <w:qFormat/>
  </w:style>
  <w:style w:type="paragraph" w:customStyle="1" w:styleId="afc">
    <w:name w:val="ヘッダーとフッター"/>
    <w:basedOn w:val="a1"/>
    <w:qFormat/>
  </w:style>
  <w:style w:type="paragraph" w:styleId="a6">
    <w:name w:val="header"/>
    <w:basedOn w:val="a1"/>
    <w:link w:val="a5"/>
    <w:pPr>
      <w:tabs>
        <w:tab w:val="center" w:pos="4680"/>
        <w:tab w:val="right" w:pos="9360"/>
      </w:tabs>
      <w:spacing w:after="0" w:line="240" w:lineRule="auto"/>
    </w:pPr>
  </w:style>
  <w:style w:type="paragraph" w:styleId="a8">
    <w:name w:val="footer"/>
    <w:basedOn w:val="a1"/>
    <w:link w:val="a7"/>
    <w:pPr>
      <w:tabs>
        <w:tab w:val="center" w:pos="4680"/>
        <w:tab w:val="right" w:pos="9360"/>
      </w:tabs>
      <w:spacing w:after="0" w:line="240" w:lineRule="auto"/>
    </w:pPr>
  </w:style>
  <w:style w:type="paragraph" w:styleId="afd">
    <w:name w:val="No Spacing"/>
    <w:qFormat/>
    <w:pPr>
      <w:overflowPunct w:val="0"/>
    </w:pPr>
  </w:style>
  <w:style w:type="paragraph" w:styleId="aa">
    <w:name w:val="Title"/>
    <w:basedOn w:val="a1"/>
    <w:next w:val="a1"/>
    <w:link w:val="a9"/>
    <w:uiPriority w:val="10"/>
    <w:qFormat/>
    <w:pPr>
      <w:pBdr>
        <w:bottom w:val="single" w:sz="8" w:space="4" w:color="4F81BD"/>
      </w:pBdr>
      <w:spacing w:after="300" w:line="240" w:lineRule="auto"/>
      <w:contextualSpacing/>
    </w:pPr>
    <w:rPr>
      <w:rFonts w:eastAsia="ＭＳ ゴシック"/>
      <w:color w:val="17365D" w:themeColor="dark2" w:themeShade="BF"/>
      <w:spacing w:val="5"/>
      <w:kern w:val="2"/>
      <w:sz w:val="52"/>
      <w:szCs w:val="52"/>
    </w:rPr>
  </w:style>
  <w:style w:type="paragraph" w:styleId="ac">
    <w:name w:val="Subtitle"/>
    <w:basedOn w:val="a1"/>
    <w:next w:val="a1"/>
    <w:link w:val="ab"/>
    <w:uiPriority w:val="11"/>
    <w:qFormat/>
    <w:rPr>
      <w:rFonts w:eastAsia="ＭＳ ゴシック"/>
      <w:i/>
      <w:iCs/>
      <w:color w:val="4F81BD" w:themeColor="accent1"/>
      <w:spacing w:val="15"/>
      <w:sz w:val="24"/>
      <w:szCs w:val="24"/>
    </w:rPr>
  </w:style>
  <w:style w:type="paragraph" w:styleId="afe">
    <w:name w:val="List Paragraph"/>
    <w:basedOn w:val="a1"/>
    <w:qFormat/>
    <w:pPr>
      <w:ind w:left="720"/>
      <w:contextualSpacing/>
    </w:pPr>
  </w:style>
  <w:style w:type="paragraph" w:styleId="24">
    <w:name w:val="Body Text 2"/>
    <w:basedOn w:val="a1"/>
    <w:link w:val="23"/>
    <w:qFormat/>
    <w:pPr>
      <w:spacing w:line="480" w:lineRule="auto"/>
    </w:pPr>
  </w:style>
  <w:style w:type="paragraph" w:styleId="34">
    <w:name w:val="Body Text 3"/>
    <w:basedOn w:val="a1"/>
    <w:link w:val="33"/>
    <w:qFormat/>
    <w:rPr>
      <w:sz w:val="16"/>
      <w:szCs w:val="16"/>
    </w:rPr>
  </w:style>
  <w:style w:type="paragraph" w:styleId="29">
    <w:name w:val="List 2"/>
    <w:basedOn w:val="a1"/>
    <w:qFormat/>
    <w:pPr>
      <w:ind w:left="720" w:hanging="360"/>
      <w:contextualSpacing/>
    </w:pPr>
  </w:style>
  <w:style w:type="paragraph" w:styleId="35">
    <w:name w:val="List 3"/>
    <w:basedOn w:val="a1"/>
    <w:qFormat/>
    <w:pPr>
      <w:ind w:left="1080" w:hanging="360"/>
      <w:contextualSpacing/>
    </w:pPr>
  </w:style>
  <w:style w:type="paragraph" w:styleId="a0">
    <w:name w:val="List Bullet"/>
    <w:basedOn w:val="a1"/>
    <w:pPr>
      <w:numPr>
        <w:numId w:val="1"/>
      </w:numPr>
      <w:spacing w:after="160" w:line="281" w:lineRule="auto"/>
      <w:contextualSpacing/>
    </w:pPr>
  </w:style>
  <w:style w:type="paragraph" w:styleId="2">
    <w:name w:val="List Bullet 2"/>
    <w:basedOn w:val="a1"/>
    <w:pPr>
      <w:numPr>
        <w:numId w:val="2"/>
      </w:numPr>
      <w:contextualSpacing/>
    </w:pPr>
  </w:style>
  <w:style w:type="paragraph" w:styleId="3">
    <w:name w:val="List Bullet 3"/>
    <w:basedOn w:val="a1"/>
    <w:pPr>
      <w:numPr>
        <w:numId w:val="3"/>
      </w:numPr>
      <w:contextualSpacing/>
    </w:pPr>
  </w:style>
  <w:style w:type="paragraph" w:styleId="a">
    <w:name w:val="List Number"/>
    <w:basedOn w:val="a1"/>
    <w:pPr>
      <w:numPr>
        <w:numId w:val="4"/>
      </w:numPr>
      <w:spacing w:after="160" w:line="281" w:lineRule="auto"/>
      <w:contextualSpacing/>
    </w:pPr>
  </w:style>
  <w:style w:type="paragraph" w:styleId="20">
    <w:name w:val="List Number 2"/>
    <w:basedOn w:val="a1"/>
    <w:pPr>
      <w:numPr>
        <w:numId w:val="5"/>
      </w:numPr>
      <w:contextualSpacing/>
    </w:pPr>
  </w:style>
  <w:style w:type="paragraph" w:styleId="30">
    <w:name w:val="List Number 3"/>
    <w:basedOn w:val="a1"/>
    <w:pPr>
      <w:numPr>
        <w:numId w:val="6"/>
      </w:numPr>
      <w:contextualSpacing/>
    </w:pPr>
  </w:style>
  <w:style w:type="paragraph" w:styleId="aff">
    <w:name w:val="List Continue"/>
    <w:basedOn w:val="a1"/>
    <w:pPr>
      <w:ind w:left="360"/>
      <w:contextualSpacing/>
    </w:pPr>
  </w:style>
  <w:style w:type="paragraph" w:styleId="2a">
    <w:name w:val="List Continue 2"/>
    <w:basedOn w:val="a1"/>
    <w:pPr>
      <w:ind w:left="720"/>
      <w:contextualSpacing/>
    </w:pPr>
  </w:style>
  <w:style w:type="paragraph" w:styleId="36">
    <w:name w:val="List Continue 3"/>
    <w:basedOn w:val="a1"/>
    <w:pPr>
      <w:ind w:left="1080"/>
      <w:contextualSpacing/>
    </w:pPr>
  </w:style>
  <w:style w:type="paragraph" w:styleId="af0">
    <w:name w:val="macro"/>
    <w:link w:val="af"/>
    <w:qFormat/>
    <w:pPr>
      <w:tabs>
        <w:tab w:val="left" w:pos="576"/>
        <w:tab w:val="left" w:pos="1152"/>
        <w:tab w:val="left" w:pos="1728"/>
        <w:tab w:val="left" w:pos="2304"/>
        <w:tab w:val="left" w:pos="2880"/>
        <w:tab w:val="left" w:pos="3456"/>
        <w:tab w:val="left" w:pos="4032"/>
      </w:tabs>
      <w:overflowPunct w:val="0"/>
      <w:spacing w:after="200" w:line="276" w:lineRule="auto"/>
    </w:pPr>
    <w:rPr>
      <w:rFonts w:ascii="Courier" w:hAnsi="Courier"/>
      <w:sz w:val="20"/>
      <w:szCs w:val="20"/>
    </w:rPr>
  </w:style>
  <w:style w:type="paragraph" w:styleId="af2">
    <w:name w:val="Quote"/>
    <w:basedOn w:val="a1"/>
    <w:next w:val="a1"/>
    <w:link w:val="af1"/>
    <w:qFormat/>
    <w:rPr>
      <w:i/>
      <w:iCs/>
      <w:color w:val="000000" w:themeColor="dark1"/>
    </w:rPr>
  </w:style>
  <w:style w:type="paragraph" w:styleId="26">
    <w:name w:val="Intense Quote"/>
    <w:basedOn w:val="a1"/>
    <w:next w:val="a1"/>
    <w:link w:val="25"/>
    <w:qFormat/>
    <w:pPr>
      <w:pBdr>
        <w:bottom w:val="single" w:sz="4" w:space="4" w:color="4F81BD"/>
      </w:pBdr>
      <w:spacing w:before="200" w:after="280"/>
      <w:ind w:left="936" w:right="936"/>
    </w:pPr>
    <w:rPr>
      <w:b/>
      <w:bCs/>
      <w:i/>
      <w:iCs/>
      <w:color w:val="4F81BD" w:themeColor="accent1"/>
    </w:rPr>
  </w:style>
  <w:style w:type="paragraph" w:styleId="aff0">
    <w:name w:val="index heading"/>
    <w:basedOn w:val="user"/>
  </w:style>
  <w:style w:type="paragraph" w:styleId="aff1">
    <w:name w:val="TOC Heading"/>
    <w:basedOn w:val="1"/>
    <w:next w:val="a1"/>
    <w:qFormat/>
    <w:pPr>
      <w:outlineLvl w:val="9"/>
    </w:pPr>
  </w:style>
  <w:style w:type="paragraph" w:customStyle="1" w:styleId="user2">
    <w:name w:val="表の内容 (user)"/>
    <w:basedOn w:val="a1"/>
    <w:qFormat/>
    <w:pPr>
      <w:widowControl w:val="0"/>
      <w:suppressLineNumbers/>
    </w:pPr>
  </w:style>
  <w:style w:type="numbering" w:customStyle="1" w:styleId="user3">
    <w:name w:val="記号なし (user)"/>
    <w:qFormat/>
  </w:style>
  <w:style w:type="character" w:styleId="aff2">
    <w:name w:val="Hyperlink"/>
    <w:basedOn w:val="a2"/>
    <w:uiPriority w:val="99"/>
    <w:unhideWhenUsed/>
    <w:rsid w:val="004441D3"/>
    <w:rPr>
      <w:color w:val="0000FF" w:themeColor="hyperlink"/>
      <w:u w:val="single"/>
    </w:rPr>
  </w:style>
  <w:style w:type="character" w:styleId="aff3">
    <w:name w:val="Unresolved Mention"/>
    <w:basedOn w:val="a2"/>
    <w:uiPriority w:val="99"/>
    <w:semiHidden/>
    <w:unhideWhenUsed/>
    <w:rsid w:val="004441D3"/>
    <w:rPr>
      <w:color w:val="605E5C"/>
      <w:shd w:val="clear" w:color="auto" w:fill="E1DFDD"/>
    </w:rPr>
  </w:style>
  <w:style w:type="character" w:styleId="aff4">
    <w:name w:val="FollowedHyperlink"/>
    <w:basedOn w:val="a2"/>
    <w:uiPriority w:val="99"/>
    <w:semiHidden/>
    <w:unhideWhenUsed/>
    <w:rsid w:val="004441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ur-lex.europa.eu/legal-content/EN/TXT/?uri=CELEX%3A32024R28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ＭＳ ゴシック"/>
        <a:cs typeface="DejaVu Sans"/>
      </a:majorFont>
      <a:minorFont>
        <a:latin typeface="Arial"/>
        <a:ea typeface="ＭＳ 明朝"/>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1261</Words>
  <Characters>7192</Characters>
  <Application>Microsoft Office Word</Application>
  <DocSecurity>0</DocSecurity>
  <Lines>59</Lines>
  <Paragraphs>16</Paragraphs>
  <ScaleCrop>false</ScaleCrop>
  <Company/>
  <LinksUpToDate>false</LinksUpToDate>
  <CharactersWithSpaces>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2026-08-26T09:44:00Z</dcterms:created>
  <dcterms:modified xsi:type="dcterms:W3CDTF">2026-08-26T09:44:00Z</dcterms:modified>
  <dc:language/>
</cp:coreProperties>
</file>